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3909FD1A" w14:textId="53323269" w:rsidR="00BE368F" w:rsidRPr="001120CA" w:rsidRDefault="00994FA3" w:rsidP="00BE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14:paraId="59C09CD0" w14:textId="02ACC3E7" w:rsidR="00E22679" w:rsidRPr="003E6204" w:rsidRDefault="00E22679" w:rsidP="00252685">
      <w:pPr>
        <w:jc w:val="both"/>
        <w:rPr>
          <w:sz w:val="28"/>
          <w:szCs w:val="28"/>
        </w:rPr>
      </w:pPr>
    </w:p>
    <w:p w14:paraId="4D4CB107" w14:textId="248FCE98" w:rsidR="007D3EE9" w:rsidRPr="000650CB" w:rsidRDefault="00864AC8" w:rsidP="003E6204">
      <w:pPr>
        <w:ind w:firstLine="709"/>
        <w:jc w:val="both"/>
      </w:pPr>
      <w:r w:rsidRPr="000650CB">
        <w:t>В соответствии с п. 2.</w:t>
      </w:r>
      <w:r w:rsidR="00F54D08">
        <w:t>1</w:t>
      </w:r>
      <w:r w:rsidRPr="000650CB">
        <w:t xml:space="preserve"> Плана работы Контрольно-счетной палаты Талдомского городского округа на 202</w:t>
      </w:r>
      <w:r w:rsidR="00F54D08">
        <w:t>5</w:t>
      </w:r>
      <w:r w:rsidRPr="000650CB">
        <w:t xml:space="preserve"> год </w:t>
      </w:r>
      <w:r w:rsidR="00DC5BA7" w:rsidRPr="000650CB">
        <w:t>Контрольно-счетной палат</w:t>
      </w:r>
      <w:r w:rsidR="00154521" w:rsidRPr="000650CB">
        <w:t>ой</w:t>
      </w:r>
      <w:r w:rsidR="00DC5BA7" w:rsidRPr="000650CB">
        <w:t xml:space="preserve"> </w:t>
      </w:r>
      <w:r w:rsidR="007D3EE9" w:rsidRPr="000650CB">
        <w:t>Талдомско</w:t>
      </w:r>
      <w:r w:rsidR="00DC5BA7" w:rsidRPr="000650CB">
        <w:t>го городского округа</w:t>
      </w:r>
      <w:r w:rsidR="007D3EE9" w:rsidRPr="000650CB">
        <w:t xml:space="preserve"> проведено контрольное мероприятие </w:t>
      </w:r>
      <w:r w:rsidRPr="000650CB">
        <w:t xml:space="preserve">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0650CB" w:rsidRPr="000650CB">
        <w:t>М</w:t>
      </w:r>
      <w:r w:rsidR="00BC29A8">
        <w:t xml:space="preserve">ОУ </w:t>
      </w:r>
      <w:r w:rsidR="00F54D08">
        <w:t>гимназия им. А.А. Цветкова</w:t>
      </w:r>
      <w:r w:rsidRPr="000650CB">
        <w:t xml:space="preserve">, а также субсидий на иные цели» </w:t>
      </w:r>
      <w:r w:rsidR="00DC5BA7" w:rsidRPr="000650CB">
        <w:t xml:space="preserve">в </w:t>
      </w:r>
      <w:r w:rsidRPr="000650CB">
        <w:t>20</w:t>
      </w:r>
      <w:r w:rsidR="00675EB4" w:rsidRPr="000650CB">
        <w:t>2</w:t>
      </w:r>
      <w:r w:rsidR="00F54D08">
        <w:t>3</w:t>
      </w:r>
      <w:r w:rsidR="0077123D">
        <w:t>,</w:t>
      </w:r>
      <w:r w:rsidR="000650CB" w:rsidRPr="000650CB">
        <w:t xml:space="preserve"> 202</w:t>
      </w:r>
      <w:r w:rsidR="00F54D08">
        <w:t>4</w:t>
      </w:r>
      <w:r w:rsidR="000650CB" w:rsidRPr="000650CB">
        <w:t xml:space="preserve"> года</w:t>
      </w:r>
      <w:r w:rsidR="00EF7299">
        <w:t>х</w:t>
      </w:r>
      <w:r w:rsidR="0077123D">
        <w:t xml:space="preserve"> и 1-ом </w:t>
      </w:r>
      <w:r w:rsidR="00F54D08">
        <w:t>квартале</w:t>
      </w:r>
      <w:r w:rsidR="0077123D">
        <w:t xml:space="preserve"> 202</w:t>
      </w:r>
      <w:r w:rsidR="00F54D08">
        <w:t>5</w:t>
      </w:r>
      <w:r w:rsidR="0077123D">
        <w:t xml:space="preserve"> года</w:t>
      </w:r>
      <w:r w:rsidR="000650CB" w:rsidRPr="000650CB">
        <w:t>.</w:t>
      </w:r>
    </w:p>
    <w:p w14:paraId="12302EBD" w14:textId="7EF12CDA" w:rsidR="00DC5BA7" w:rsidRPr="0077123D" w:rsidRDefault="00DC5BA7" w:rsidP="0077123D">
      <w:pPr>
        <w:pStyle w:val="1"/>
        <w:spacing w:line="234" w:lineRule="atLeast"/>
        <w:ind w:firstLine="680"/>
        <w:rPr>
          <w:color w:val="auto"/>
        </w:rPr>
      </w:pPr>
      <w:r w:rsidRPr="000650CB">
        <w:t>Объектами контрольного мероприятия являлись</w:t>
      </w:r>
      <w:r w:rsidR="0077123D">
        <w:t xml:space="preserve"> </w:t>
      </w:r>
      <w:r w:rsidR="00BC29A8">
        <w:rPr>
          <w:bCs/>
        </w:rPr>
        <w:t xml:space="preserve">Управление образования </w:t>
      </w:r>
      <w:r w:rsidR="0077123D" w:rsidRPr="00BE7C69">
        <w:rPr>
          <w:bCs/>
        </w:rPr>
        <w:t>администрации Талдомского городского округа</w:t>
      </w:r>
      <w:r w:rsidR="0077123D">
        <w:t>, МКУ «ЦБ Талдомского городского округа», М</w:t>
      </w:r>
      <w:r w:rsidR="00BC29A8">
        <w:t xml:space="preserve">ОУ </w:t>
      </w:r>
      <w:r w:rsidR="00F54D08">
        <w:t>гимназия им. А.А. Цветкова</w:t>
      </w:r>
      <w:r w:rsidR="0044792A">
        <w:t>.</w:t>
      </w:r>
    </w:p>
    <w:p w14:paraId="5D7DD04A" w14:textId="4A80EF46" w:rsidR="007D3EE9" w:rsidRPr="000650CB" w:rsidRDefault="007D3EE9" w:rsidP="007D3EE9">
      <w:pPr>
        <w:ind w:firstLine="709"/>
        <w:jc w:val="both"/>
      </w:pPr>
      <w:r w:rsidRPr="000650CB">
        <w:t>В результате контрольного мероприятия выявлены</w:t>
      </w:r>
      <w:r w:rsidR="003A4D83" w:rsidRPr="000650CB">
        <w:t xml:space="preserve"> следующие</w:t>
      </w:r>
      <w:r w:rsidRPr="000650CB">
        <w:t xml:space="preserve"> нарушения и недостатки, о чем сотрудниками Контрольно-счетно</w:t>
      </w:r>
      <w:r w:rsidR="003A4D83" w:rsidRPr="000650CB">
        <w:t>й палаты</w:t>
      </w:r>
      <w:r w:rsidRPr="000650CB">
        <w:t xml:space="preserve"> составлен </w:t>
      </w:r>
      <w:r w:rsidR="00DC5BA7" w:rsidRPr="000650CB">
        <w:t>акт</w:t>
      </w:r>
      <w:r w:rsidR="000B60CF">
        <w:t xml:space="preserve"> №</w:t>
      </w:r>
      <w:r w:rsidR="00F54D08">
        <w:t>4</w:t>
      </w:r>
      <w:r w:rsidR="00DC5BA7" w:rsidRPr="000650CB">
        <w:t xml:space="preserve"> </w:t>
      </w:r>
      <w:r w:rsidRPr="000650CB">
        <w:t>по результатам контрольного мероприятия</w:t>
      </w:r>
      <w:r w:rsidR="000B60CF">
        <w:t xml:space="preserve"> от </w:t>
      </w:r>
      <w:r w:rsidR="00F54D08">
        <w:t>07 августа</w:t>
      </w:r>
      <w:r w:rsidR="000B60CF">
        <w:t xml:space="preserve"> 202</w:t>
      </w:r>
      <w:r w:rsidR="00F54D08">
        <w:t>5</w:t>
      </w:r>
      <w:r w:rsidR="000B60CF">
        <w:t xml:space="preserve"> г.</w:t>
      </w:r>
      <w:r w:rsidR="003A4D83" w:rsidRPr="000650CB">
        <w:t>:</w:t>
      </w:r>
    </w:p>
    <w:p w14:paraId="6DED5485" w14:textId="330427AE" w:rsidR="00F54D08" w:rsidRPr="00F54D08" w:rsidRDefault="000B60CF" w:rsidP="00F54D08">
      <w:pPr>
        <w:ind w:firstLine="709"/>
        <w:jc w:val="both"/>
      </w:pPr>
      <w:r w:rsidRPr="000B60CF">
        <w:rPr>
          <w:b/>
          <w:bCs/>
        </w:rPr>
        <w:t>1</w:t>
      </w:r>
      <w:r w:rsidR="006A4241" w:rsidRPr="006A4241">
        <w:rPr>
          <w:b/>
        </w:rPr>
        <w:t>.</w:t>
      </w:r>
      <w:bookmarkStart w:id="0" w:name="_Hlk112319850"/>
      <w:r w:rsidR="000A7E3D" w:rsidRPr="000A7E3D">
        <w:rPr>
          <w:b/>
          <w:bCs/>
        </w:rPr>
        <w:t xml:space="preserve"> </w:t>
      </w:r>
      <w:r w:rsidR="000A7E3D" w:rsidRPr="000A7E3D">
        <w:t xml:space="preserve"> </w:t>
      </w:r>
      <w:bookmarkStart w:id="1" w:name="_Hlk112319767"/>
      <w:bookmarkStart w:id="2" w:name="_Hlk112323212"/>
      <w:bookmarkEnd w:id="0"/>
      <w:r w:rsidR="00F54D08" w:rsidRPr="00F54D08">
        <w:t xml:space="preserve">Отчеты о выполнении муниципального задания за полугодие, 9 месяцев 2023 года и за 2023 год составлены </w:t>
      </w:r>
      <w:r w:rsidR="00F54D08" w:rsidRPr="00F54D08">
        <w:rPr>
          <w:b/>
        </w:rPr>
        <w:t xml:space="preserve">с нарушением </w:t>
      </w:r>
      <w:r w:rsidR="00F54D08" w:rsidRPr="00F54D08">
        <w:rPr>
          <w:bCs/>
        </w:rPr>
        <w:t>Порядка</w:t>
      </w:r>
      <w:r w:rsidR="00F54D08" w:rsidRPr="00F54D08">
        <w:t xml:space="preserve">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</w:t>
      </w:r>
      <w:bookmarkEnd w:id="1"/>
      <w:r w:rsidR="00F54D08" w:rsidRPr="00F54D08">
        <w:t>;</w:t>
      </w:r>
    </w:p>
    <w:p w14:paraId="44D0579F" w14:textId="0A9CA9E7" w:rsidR="00F54D08" w:rsidRPr="00F54D08" w:rsidRDefault="00F54D08" w:rsidP="00F54D08">
      <w:pPr>
        <w:ind w:firstLine="709"/>
        <w:jc w:val="both"/>
      </w:pPr>
      <w:bookmarkStart w:id="3" w:name="_Hlk112319797"/>
      <w:bookmarkEnd w:id="2"/>
      <w:r w:rsidRPr="00F54D08">
        <w:rPr>
          <w:b/>
          <w:bCs/>
        </w:rPr>
        <w:t xml:space="preserve">2. </w:t>
      </w:r>
      <w:r w:rsidRPr="00F54D08">
        <w:t xml:space="preserve">Муниципальное задание на оказание муниципальных услуг (выполнение работ) на 2024 год и на плановый период 2024 и 2025 годов утверждено начальником Управления образования администрации Талдомского городского округа 18 января 2024 г. Согласно позиции Минфина России (Письмо Минфина России от 22.10.2013 №12-08-06/44036 «О Комментариях (комплексных рекомендациях) по вопросам, связанным с реализацией положений Федерального закона от 08.05.2010 N 83-ФЗ») данный документ </w:t>
      </w:r>
      <w:r w:rsidRPr="00F54D08">
        <w:rPr>
          <w:b/>
          <w:bCs/>
        </w:rPr>
        <w:t>следует утверждать до начала очередного финансового года;</w:t>
      </w:r>
    </w:p>
    <w:bookmarkEnd w:id="3"/>
    <w:p w14:paraId="07BE386C" w14:textId="30B78B0C" w:rsidR="00F54D08" w:rsidRPr="00F54D08" w:rsidRDefault="00F54D08" w:rsidP="00F54D08">
      <w:pPr>
        <w:ind w:firstLine="709"/>
        <w:jc w:val="both"/>
      </w:pPr>
      <w:r w:rsidRPr="00F54D08">
        <w:rPr>
          <w:b/>
          <w:bCs/>
        </w:rPr>
        <w:t>3.</w:t>
      </w:r>
      <w:r w:rsidRPr="00F54D08">
        <w:t xml:space="preserve"> </w:t>
      </w:r>
      <w:bookmarkStart w:id="4" w:name="_Hlk183166881"/>
      <w:r w:rsidRPr="00F54D08">
        <w:t xml:space="preserve">Отчеты о выполнении муниципального задания за полугодие 2024 года и за 2024 год составлены </w:t>
      </w:r>
      <w:r w:rsidRPr="00F54D08">
        <w:rPr>
          <w:b/>
        </w:rPr>
        <w:t xml:space="preserve">с нарушением </w:t>
      </w:r>
      <w:r w:rsidRPr="00F54D08">
        <w:rPr>
          <w:bCs/>
        </w:rPr>
        <w:t>Порядка</w:t>
      </w:r>
      <w:r w:rsidRPr="00F54D08">
        <w:t xml:space="preserve">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04.04.2024 г. №661;</w:t>
      </w:r>
      <w:bookmarkEnd w:id="4"/>
    </w:p>
    <w:p w14:paraId="2787298E" w14:textId="02702B40" w:rsidR="00F54D08" w:rsidRPr="00F54D08" w:rsidRDefault="00F54D08" w:rsidP="00F54D08">
      <w:pPr>
        <w:ind w:firstLine="709"/>
        <w:jc w:val="both"/>
      </w:pPr>
      <w:r w:rsidRPr="00F54D08">
        <w:rPr>
          <w:b/>
          <w:bCs/>
        </w:rPr>
        <w:t xml:space="preserve">4. </w:t>
      </w:r>
      <w:r w:rsidRPr="00F54D08">
        <w:t xml:space="preserve">Финансирование муниципального задания на 2024 год осуществлялось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18 января 2024 г. Таким образом, до момента заключения Соглашения соответствующие </w:t>
      </w:r>
      <w:r w:rsidRPr="00F54D08">
        <w:rPr>
          <w:b/>
          <w:bCs/>
        </w:rPr>
        <w:t>правовые основания для выделения Учреждению необходимого финансового обеспечения с начала 2024 года отсутствовали.</w:t>
      </w:r>
    </w:p>
    <w:p w14:paraId="0751E769" w14:textId="564D2781" w:rsidR="00F54D08" w:rsidRPr="00F54D08" w:rsidRDefault="00F54D08" w:rsidP="00F54D08">
      <w:pPr>
        <w:ind w:firstLine="709"/>
        <w:jc w:val="both"/>
      </w:pPr>
      <w:bookmarkStart w:id="5" w:name="_Hlk183084454"/>
      <w:r w:rsidRPr="00F54D08">
        <w:rPr>
          <w:b/>
          <w:bCs/>
        </w:rPr>
        <w:t>5.</w:t>
      </w:r>
      <w:r w:rsidRPr="00F54D08">
        <w:t xml:space="preserve"> </w:t>
      </w:r>
      <w:bookmarkStart w:id="6" w:name="_Hlk112320246"/>
      <w:r w:rsidRPr="00F54D08">
        <w:rPr>
          <w:b/>
          <w:bCs/>
        </w:rPr>
        <w:t>В нарушение</w:t>
      </w:r>
      <w:r w:rsidRPr="00F54D08">
        <w:t xml:space="preserve"> п. 46 главы </w:t>
      </w:r>
      <w:r w:rsidRPr="00F54D08">
        <w:rPr>
          <w:lang w:val="en-US"/>
        </w:rPr>
        <w:t>IV</w:t>
      </w:r>
      <w:r w:rsidRPr="00F54D08">
        <w:t xml:space="preserve"> Требований к составлению и утверждению плана финансово-хозяйственной деятельности  государственного (муниципального) учреждения, утвержденных Приказом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учреждения», План ФХД на 2024 год и на плановый период 2025 и 2026 годов  </w:t>
      </w:r>
      <w:r w:rsidRPr="00F54D08">
        <w:rPr>
          <w:b/>
          <w:bCs/>
        </w:rPr>
        <w:t>утвержден позднее установленного срока</w:t>
      </w:r>
      <w:r w:rsidRPr="00F54D08">
        <w:t>;</w:t>
      </w:r>
    </w:p>
    <w:p w14:paraId="6C274ACF" w14:textId="6BCBAE5A" w:rsidR="00F54D08" w:rsidRPr="00F54D08" w:rsidRDefault="00F54D08" w:rsidP="00F54D08">
      <w:pPr>
        <w:ind w:firstLine="709"/>
        <w:jc w:val="both"/>
      </w:pPr>
      <w:bookmarkStart w:id="7" w:name="_Hlk112324162"/>
      <w:bookmarkEnd w:id="5"/>
      <w:bookmarkEnd w:id="6"/>
      <w:r w:rsidRPr="00F54D08">
        <w:rPr>
          <w:b/>
          <w:bCs/>
        </w:rPr>
        <w:t xml:space="preserve">6. </w:t>
      </w:r>
      <w:bookmarkStart w:id="8" w:name="_Hlk112327064"/>
      <w:bookmarkStart w:id="9" w:name="_Hlk183166959"/>
      <w:r w:rsidRPr="00F54D08">
        <w:rPr>
          <w:b/>
          <w:bCs/>
        </w:rPr>
        <w:t>Выявлено неэффективное использование</w:t>
      </w:r>
      <w:r w:rsidRPr="00F54D08">
        <w:t xml:space="preserve"> средств в сумме </w:t>
      </w:r>
      <w:r w:rsidRPr="00F54D08">
        <w:rPr>
          <w:b/>
          <w:bCs/>
        </w:rPr>
        <w:t>125013,29</w:t>
      </w:r>
      <w:r w:rsidRPr="00F54D08">
        <w:t xml:space="preserve"> рублей:</w:t>
      </w:r>
    </w:p>
    <w:p w14:paraId="3A6DD2B9" w14:textId="77777777" w:rsidR="00F54D08" w:rsidRPr="00F54D08" w:rsidRDefault="00F54D08" w:rsidP="00F54D08">
      <w:pPr>
        <w:ind w:firstLine="709"/>
        <w:jc w:val="both"/>
      </w:pPr>
      <w:r w:rsidRPr="00F54D08">
        <w:t xml:space="preserve"> в 2023 году – уплата штрафов за нарушение законодательства о налогах и сборах, законодательства о страховых взносах в сумме 13,23 руб., уплата других экономических санкций в сумме 125000,00 руб.;</w:t>
      </w:r>
    </w:p>
    <w:p w14:paraId="2239CFDC" w14:textId="77777777" w:rsidR="00F54D08" w:rsidRPr="00F54D08" w:rsidRDefault="00F54D08" w:rsidP="00F54D08">
      <w:pPr>
        <w:ind w:firstLine="709"/>
        <w:jc w:val="both"/>
      </w:pPr>
      <w:r w:rsidRPr="00F54D08">
        <w:lastRenderedPageBreak/>
        <w:t>в 2024 году – уплата штрафов за нарушение законодательства о налогах и сборах, законодательства о страховых взносах в сумме 0,06 руб.</w:t>
      </w:r>
    </w:p>
    <w:p w14:paraId="1EE7FDCB" w14:textId="164B4802" w:rsidR="00F54D08" w:rsidRPr="00F54D08" w:rsidRDefault="00F54D08" w:rsidP="00F54D08">
      <w:pPr>
        <w:ind w:firstLine="709"/>
        <w:jc w:val="both"/>
      </w:pPr>
      <w:bookmarkStart w:id="10" w:name="_Hlk131502589"/>
      <w:bookmarkEnd w:id="7"/>
      <w:bookmarkEnd w:id="8"/>
      <w:r w:rsidRPr="00F54D08">
        <w:rPr>
          <w:b/>
          <w:bCs/>
        </w:rPr>
        <w:t>7.</w:t>
      </w:r>
      <w:r w:rsidRPr="00F54D08">
        <w:t xml:space="preserve"> </w:t>
      </w:r>
      <w:r w:rsidRPr="00F54D08">
        <w:rPr>
          <w:b/>
          <w:bCs/>
        </w:rPr>
        <w:t xml:space="preserve">Нарушения </w:t>
      </w:r>
      <w:r w:rsidRPr="00F54D08">
        <w:t>требований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Росстандарта от 08.12.2016 N 2004-ст) и Трудового Кодекса Российской Федерации при составлении распорядительных документов Учреждения;</w:t>
      </w:r>
    </w:p>
    <w:p w14:paraId="45002A8A" w14:textId="68A27E30" w:rsidR="00F54D08" w:rsidRPr="00F54D08" w:rsidRDefault="00F54D08" w:rsidP="00F54D08">
      <w:pPr>
        <w:ind w:firstLine="709"/>
        <w:jc w:val="both"/>
      </w:pPr>
      <w:r w:rsidRPr="00F54D08">
        <w:rPr>
          <w:b/>
          <w:bCs/>
        </w:rPr>
        <w:t xml:space="preserve">8.  </w:t>
      </w:r>
      <w:r w:rsidRPr="00F54D08">
        <w:t xml:space="preserve">В </w:t>
      </w:r>
      <w:r w:rsidRPr="00F54D08">
        <w:rPr>
          <w:b/>
          <w:bCs/>
        </w:rPr>
        <w:t>нарушение</w:t>
      </w:r>
      <w:r w:rsidRPr="00F54D08">
        <w:t xml:space="preserve"> п. 1.11 Положения об условиях установления и порядка произведения выплат стимулирующего характера работникам Муниципального общеобразовательного учреждения гимназии «Детская школа искусств» им. А.А. Цветкова, утвержденного приказом по Учреждению от 29.08.2024 г. №221, данное Положение не размещено на официальном сайте МОУ гимназии им. А.А. Цветкова по адресу https://gimnaziya-tsvetkova.edumsko.ru/.</w:t>
      </w:r>
    </w:p>
    <w:bookmarkEnd w:id="9"/>
    <w:bookmarkEnd w:id="10"/>
    <w:p w14:paraId="326CC926" w14:textId="267E1A02" w:rsidR="00F54D08" w:rsidRPr="00F54D08" w:rsidRDefault="00F54D08" w:rsidP="00F54D08">
      <w:pPr>
        <w:autoSpaceDE w:val="0"/>
        <w:autoSpaceDN w:val="0"/>
        <w:adjustRightInd w:val="0"/>
        <w:ind w:firstLine="720"/>
        <w:jc w:val="both"/>
      </w:pPr>
      <w:r w:rsidRPr="00F54D08">
        <w:rPr>
          <w:b/>
        </w:rPr>
        <w:t>9.</w:t>
      </w:r>
      <w:r w:rsidRPr="00F54D08">
        <w:t xml:space="preserve"> Открытость деятельности Учреждения обеспечена с </w:t>
      </w:r>
      <w:r w:rsidRPr="00F54D08">
        <w:rPr>
          <w:b/>
        </w:rPr>
        <w:t xml:space="preserve">нарушением </w:t>
      </w:r>
      <w:r w:rsidRPr="00F54D08">
        <w:rPr>
          <w:bCs/>
        </w:rPr>
        <w:t xml:space="preserve">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№86н, Федерального закона от 12 января 1996 г. №7-ФЗ «О некоммерческих организациях». </w:t>
      </w:r>
    </w:p>
    <w:p w14:paraId="3032C87F" w14:textId="53B66846" w:rsidR="00EF7299" w:rsidRPr="00EF7299" w:rsidRDefault="00EF7299" w:rsidP="00F54D08">
      <w:pPr>
        <w:jc w:val="both"/>
      </w:pPr>
    </w:p>
    <w:p w14:paraId="1EAA840E" w14:textId="27428A81" w:rsidR="000650CB" w:rsidRPr="000650CB" w:rsidRDefault="000650CB" w:rsidP="00EF7299">
      <w:pPr>
        <w:ind w:firstLine="709"/>
        <w:jc w:val="both"/>
      </w:pPr>
    </w:p>
    <w:p w14:paraId="5BE9371B" w14:textId="239F6A44" w:rsidR="00995296" w:rsidRPr="000650CB" w:rsidRDefault="003E6204" w:rsidP="000B60CF">
      <w:pPr>
        <w:ind w:firstLine="709"/>
        <w:jc w:val="both"/>
      </w:pPr>
      <w:r w:rsidRPr="000650CB">
        <w:t>По результат</w:t>
      </w:r>
      <w:r w:rsidR="00DC5BA7" w:rsidRPr="000650CB">
        <w:t>ам контрольного мероприятия Контрольно-счетной палатой</w:t>
      </w:r>
      <w:r w:rsidR="006B10D2" w:rsidRPr="000650CB">
        <w:t xml:space="preserve"> </w:t>
      </w:r>
      <w:r w:rsidR="00DC5BA7" w:rsidRPr="000650CB">
        <w:t xml:space="preserve">выдано </w:t>
      </w:r>
      <w:r w:rsidR="00F54D08">
        <w:t>2</w:t>
      </w:r>
      <w:r w:rsidR="00DC5BA7" w:rsidRPr="000650CB">
        <w:t xml:space="preserve"> представлени</w:t>
      </w:r>
      <w:r w:rsidR="00154939">
        <w:t>я</w:t>
      </w:r>
      <w:r w:rsidR="00154521" w:rsidRPr="000650CB">
        <w:t>.</w:t>
      </w:r>
      <w:r w:rsidR="000B60CF">
        <w:t xml:space="preserve"> </w:t>
      </w:r>
      <w:r w:rsidR="00DC5BA7" w:rsidRPr="000650CB">
        <w:t>Отчет о результатах контрольного мероприятия</w:t>
      </w:r>
      <w:r w:rsidR="00154939">
        <w:t xml:space="preserve"> утвержден</w:t>
      </w:r>
      <w:r w:rsidR="00F54D08">
        <w:t xml:space="preserve"> 18 августа</w:t>
      </w:r>
      <w:r w:rsidR="00154939">
        <w:t xml:space="preserve"> 202</w:t>
      </w:r>
      <w:r w:rsidR="00F54D08">
        <w:t>5</w:t>
      </w:r>
      <w:bookmarkStart w:id="11" w:name="_GoBack"/>
      <w:bookmarkEnd w:id="11"/>
      <w:r w:rsidR="00154939">
        <w:t xml:space="preserve"> г.</w:t>
      </w:r>
      <w:r w:rsidR="00675EB4" w:rsidRPr="000650CB">
        <w:t xml:space="preserve"> </w:t>
      </w:r>
      <w:r w:rsidR="00154939">
        <w:t xml:space="preserve">и </w:t>
      </w:r>
      <w:r w:rsidR="00DC5BA7" w:rsidRPr="000650CB">
        <w:t>направлен в Совет депутатов и Главе Талдомского городского округа.</w:t>
      </w:r>
    </w:p>
    <w:sectPr w:rsidR="00995296" w:rsidRPr="0006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19F"/>
    <w:multiLevelType w:val="hybridMultilevel"/>
    <w:tmpl w:val="BE9A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650CB"/>
    <w:rsid w:val="00082016"/>
    <w:rsid w:val="000A7E3D"/>
    <w:rsid w:val="000B035E"/>
    <w:rsid w:val="000B60CF"/>
    <w:rsid w:val="000F093D"/>
    <w:rsid w:val="001120CA"/>
    <w:rsid w:val="00154521"/>
    <w:rsid w:val="00154939"/>
    <w:rsid w:val="00194CA6"/>
    <w:rsid w:val="002041EC"/>
    <w:rsid w:val="00206B1D"/>
    <w:rsid w:val="00237404"/>
    <w:rsid w:val="00244F61"/>
    <w:rsid w:val="00252685"/>
    <w:rsid w:val="00272391"/>
    <w:rsid w:val="00286117"/>
    <w:rsid w:val="00334549"/>
    <w:rsid w:val="00370BB1"/>
    <w:rsid w:val="0038366F"/>
    <w:rsid w:val="003A4D83"/>
    <w:rsid w:val="003E6204"/>
    <w:rsid w:val="00414C93"/>
    <w:rsid w:val="0044792A"/>
    <w:rsid w:val="0047349C"/>
    <w:rsid w:val="004F2100"/>
    <w:rsid w:val="005116EF"/>
    <w:rsid w:val="005A2716"/>
    <w:rsid w:val="00601019"/>
    <w:rsid w:val="00675EB4"/>
    <w:rsid w:val="006A4241"/>
    <w:rsid w:val="006B10D2"/>
    <w:rsid w:val="00740AE8"/>
    <w:rsid w:val="0077123D"/>
    <w:rsid w:val="007D3EE9"/>
    <w:rsid w:val="00806A9C"/>
    <w:rsid w:val="00831824"/>
    <w:rsid w:val="00864790"/>
    <w:rsid w:val="00864AC8"/>
    <w:rsid w:val="008F1432"/>
    <w:rsid w:val="00917087"/>
    <w:rsid w:val="009176B4"/>
    <w:rsid w:val="009469B0"/>
    <w:rsid w:val="009572AD"/>
    <w:rsid w:val="00994FA3"/>
    <w:rsid w:val="00995296"/>
    <w:rsid w:val="00A10826"/>
    <w:rsid w:val="00B00DAF"/>
    <w:rsid w:val="00B3742D"/>
    <w:rsid w:val="00BC29A8"/>
    <w:rsid w:val="00BE368F"/>
    <w:rsid w:val="00CD2CA3"/>
    <w:rsid w:val="00CE0404"/>
    <w:rsid w:val="00D115AD"/>
    <w:rsid w:val="00DC5BA7"/>
    <w:rsid w:val="00E22679"/>
    <w:rsid w:val="00E55AE3"/>
    <w:rsid w:val="00E612CB"/>
    <w:rsid w:val="00EF7299"/>
    <w:rsid w:val="00F26C36"/>
    <w:rsid w:val="00F27B5B"/>
    <w:rsid w:val="00F30EDC"/>
    <w:rsid w:val="00F5337B"/>
    <w:rsid w:val="00F54D08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paragraph" w:customStyle="1" w:styleId="1">
    <w:name w:val="Основной текст1"/>
    <w:rsid w:val="0077123D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2025-08-19T06:44:00Z</dcterms:created>
  <dcterms:modified xsi:type="dcterms:W3CDTF">2025-08-19T06:48:00Z</dcterms:modified>
</cp:coreProperties>
</file>