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A37F7" w14:textId="77777777" w:rsidR="006670B1" w:rsidRDefault="006670B1" w:rsidP="006670B1">
      <w:pPr>
        <w:pStyle w:val="a5"/>
        <w:spacing w:before="100" w:after="100"/>
        <w:contextualSpacing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Приложение №1</w:t>
      </w:r>
    </w:p>
    <w:p w14:paraId="4A11D23D" w14:textId="77777777" w:rsidR="006670B1" w:rsidRDefault="006670B1" w:rsidP="006670B1">
      <w:pPr>
        <w:pStyle w:val="a5"/>
        <w:spacing w:before="100" w:after="100"/>
        <w:contextualSpacing/>
        <w:jc w:val="right"/>
        <w:rPr>
          <w:sz w:val="28"/>
        </w:rPr>
      </w:pPr>
      <w:r>
        <w:rPr>
          <w:sz w:val="28"/>
        </w:rPr>
        <w:t>К постановлению Главы</w:t>
      </w:r>
    </w:p>
    <w:p w14:paraId="28BB45AE" w14:textId="77777777" w:rsidR="006670B1" w:rsidRDefault="006670B1" w:rsidP="006670B1">
      <w:pPr>
        <w:pStyle w:val="a5"/>
        <w:spacing w:before="100" w:after="100"/>
        <w:contextualSpacing/>
        <w:jc w:val="right"/>
        <w:rPr>
          <w:sz w:val="28"/>
        </w:rPr>
      </w:pPr>
      <w:r>
        <w:rPr>
          <w:sz w:val="28"/>
        </w:rPr>
        <w:t>Талдомского городского округа</w:t>
      </w:r>
    </w:p>
    <w:p w14:paraId="374AA7D4" w14:textId="2A581480" w:rsidR="006670B1" w:rsidRDefault="006670B1" w:rsidP="008E173B">
      <w:pPr>
        <w:pStyle w:val="a5"/>
        <w:spacing w:before="100" w:after="100"/>
        <w:contextualSpacing/>
        <w:jc w:val="right"/>
        <w:rPr>
          <w:sz w:val="28"/>
        </w:rPr>
      </w:pPr>
      <w:r>
        <w:rPr>
          <w:sz w:val="28"/>
        </w:rPr>
        <w:t>От __________ №_________</w:t>
      </w:r>
    </w:p>
    <w:p w14:paraId="02000000" w14:textId="3BD30AF4" w:rsidR="00A87AA2" w:rsidRDefault="00FE4DB5" w:rsidP="008E173B">
      <w:pPr>
        <w:pStyle w:val="a5"/>
        <w:spacing w:after="0"/>
        <w:jc w:val="center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br/>
        <w:t>размещения</w:t>
      </w:r>
      <w:bookmarkStart w:id="1" w:name="_Hlk193573219"/>
      <w:r>
        <w:rPr>
          <w:sz w:val="28"/>
        </w:rPr>
        <w:t xml:space="preserve"> временных сооружений или временных конструкций, предназначенных для осуществления торговой деятельности (оказания услуг)</w:t>
      </w:r>
      <w:bookmarkEnd w:id="1"/>
      <w:r>
        <w:rPr>
          <w:sz w:val="28"/>
        </w:rPr>
        <w:t xml:space="preserve"> на территории Талдомского городского округа Московской области на земельных участках, находящихся в частной собственности</w:t>
      </w:r>
    </w:p>
    <w:p w14:paraId="04000000" w14:textId="32F35365" w:rsidR="00A87AA2" w:rsidRPr="008E173B" w:rsidRDefault="00FE4DB5" w:rsidP="008E173B">
      <w:pPr>
        <w:pStyle w:val="10"/>
        <w:spacing w:before="0" w:after="0"/>
        <w:rPr>
          <w:rFonts w:ascii="Times New Roman" w:hAnsi="Times New Roman"/>
          <w:sz w:val="28"/>
        </w:rPr>
      </w:pPr>
      <w:bookmarkStart w:id="2" w:name="sub_1001"/>
      <w:bookmarkEnd w:id="2"/>
      <w:r>
        <w:rPr>
          <w:rFonts w:ascii="Times New Roman" w:hAnsi="Times New Roman"/>
          <w:sz w:val="28"/>
        </w:rPr>
        <w:t>1. Общие положения</w:t>
      </w:r>
    </w:p>
    <w:p w14:paraId="05000000" w14:textId="77777777" w:rsidR="00A87AA2" w:rsidRDefault="00FE4DB5">
      <w:pPr>
        <w:pStyle w:val="a5"/>
        <w:spacing w:before="280" w:after="0"/>
        <w:ind w:firstLine="540"/>
        <w:jc w:val="both"/>
        <w:rPr>
          <w:sz w:val="28"/>
        </w:rPr>
      </w:pPr>
      <w:bookmarkStart w:id="3" w:name="sub_1011"/>
      <w:bookmarkEnd w:id="3"/>
      <w:r>
        <w:rPr>
          <w:sz w:val="28"/>
        </w:rPr>
        <w:t xml:space="preserve">1.1. Настоящий Порядок разработан для целей упорядочения размещения на земельных участках, находящихся в частной собственности временных сооружений или временных конструкций, предназначенных </w:t>
      </w:r>
      <w:r>
        <w:rPr>
          <w:sz w:val="28"/>
        </w:rPr>
        <w:br/>
        <w:t>для осуществления торговой деятельности (оказания услуг) на территории Талдомского городского округа, а также определяет порядок согласования размещения таких сооружений и строений на предмет их соответствия  установленным правилами благоустройства требованиям к архитектурно-художественному облику, внешнему виду нестационарных строений, сооружений на территории Талдомского городского округа Московской области.</w:t>
      </w:r>
    </w:p>
    <w:p w14:paraId="06000000" w14:textId="77777777" w:rsidR="00A87AA2" w:rsidRDefault="00FE4DB5">
      <w:pPr>
        <w:pStyle w:val="a5"/>
        <w:spacing w:before="280" w:after="0"/>
        <w:ind w:firstLine="540"/>
        <w:jc w:val="both"/>
        <w:rPr>
          <w:b/>
        </w:rPr>
      </w:pPr>
      <w:r>
        <w:rPr>
          <w:sz w:val="28"/>
        </w:rPr>
        <w:t xml:space="preserve">1.2. Настоящий Порядок разработан в соответствии  с </w:t>
      </w:r>
      <w:hyperlink r:id="rId5" w:history="1">
        <w:r>
          <w:rPr>
            <w:sz w:val="28"/>
          </w:rPr>
          <w:t>Федеральным законом</w:t>
        </w:r>
      </w:hyperlink>
      <w:r>
        <w:rPr>
          <w:sz w:val="28"/>
        </w:rPr>
        <w:t xml:space="preserve"> от 06.10.2003 № 131-ФЗ «Об общих принципах организации местного самоуправления в Российской Федерации», Федеральным законом от 20.03.2025 N 33-ФЗ "Об общих принципах организации местного самоуправления в единой системе публичной власти", </w:t>
      </w:r>
      <w:hyperlink r:id="rId6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Московской области № 191/2014-ОЗ «О регулировании дополнительных вопросов в сфере благоустройства Московской области», </w:t>
      </w:r>
      <w:hyperlink r:id="rId7" w:history="1">
        <w:r>
          <w:rPr>
            <w:sz w:val="28"/>
          </w:rPr>
          <w:t>Правилами</w:t>
        </w:r>
      </w:hyperlink>
      <w:r>
        <w:rPr>
          <w:sz w:val="28"/>
        </w:rPr>
        <w:t xml:space="preserve"> благоустройства территории Талдомского городского округа, утвержденными </w:t>
      </w:r>
      <w:hyperlink r:id="rId8" w:history="1">
        <w:r>
          <w:rPr>
            <w:sz w:val="28"/>
          </w:rPr>
          <w:t>решением</w:t>
        </w:r>
      </w:hyperlink>
      <w:r>
        <w:rPr>
          <w:sz w:val="28"/>
        </w:rPr>
        <w:t xml:space="preserve"> Совета депутатов Талдомского городского округа от 29.10.2020 № 79 (далее - Правила благоустройства) </w:t>
      </w:r>
      <w:r>
        <w:t xml:space="preserve">.   </w:t>
      </w:r>
    </w:p>
    <w:p w14:paraId="07000000" w14:textId="77777777" w:rsidR="00A87AA2" w:rsidRDefault="00FE4DB5">
      <w:pPr>
        <w:pStyle w:val="a5"/>
        <w:spacing w:before="280" w:after="0"/>
        <w:ind w:firstLine="540"/>
        <w:jc w:val="both"/>
        <w:rPr>
          <w:sz w:val="28"/>
        </w:rPr>
      </w:pPr>
      <w:bookmarkStart w:id="4" w:name="sub_1012"/>
      <w:bookmarkStart w:id="5" w:name="sub_1013"/>
      <w:bookmarkEnd w:id="4"/>
      <w:r>
        <w:rPr>
          <w:sz w:val="28"/>
        </w:rPr>
        <w:t xml:space="preserve">1.3. Порядок распространяет свое действие на земельные участки, находящиеся в частной собственности физических и юридических лиц, </w:t>
      </w:r>
      <w:bookmarkEnd w:id="5"/>
      <w:r>
        <w:rPr>
          <w:sz w:val="28"/>
        </w:rPr>
        <w:t>не является порядком размещения и использования нестационарных торговых объектов, устанавливаемым согласно положений ч. 7 ст. 10 Федерального закона от 28.12.2009 N 381-ФЗ "Об основах государственного регулирования торговой деятельности в Российской Федерации".</w:t>
      </w:r>
    </w:p>
    <w:p w14:paraId="08000000" w14:textId="10172E85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Размещение временных сооружений или временных конструкций, указанных в пункте 1.1 настоящего Порядке, осуществляется собственниками (правообладателями) данных земельных участков при условии согласования </w:t>
      </w:r>
      <w:r>
        <w:rPr>
          <w:rFonts w:ascii="Times New Roman" w:hAnsi="Times New Roman"/>
          <w:sz w:val="28"/>
        </w:rPr>
        <w:br/>
        <w:t xml:space="preserve">их размещения Администрацией Талдомского городского округа (далее – Администрация) в соответствии с настоящим Порядком. Уполномоченным лицом от Администрации является отдел по потребительскому рынку Комитета </w:t>
      </w:r>
      <w:r w:rsidR="008E173B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lastRenderedPageBreak/>
        <w:t>по экономике (далее – отдел по потребительскому рынку).</w:t>
      </w:r>
    </w:p>
    <w:p w14:paraId="09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Согласование осуществляется бесплатно.</w:t>
      </w:r>
    </w:p>
    <w:p w14:paraId="0A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6" w:name="sub_1014"/>
      <w:bookmarkEnd w:id="6"/>
      <w:r>
        <w:rPr>
          <w:rFonts w:ascii="Times New Roman" w:hAnsi="Times New Roman"/>
          <w:sz w:val="28"/>
        </w:rPr>
        <w:t>1.5. Порядок не распространяется на некапитальные строения, сооружения, не предназначенные для осуществления торговой деятельности (оказания услуг).</w:t>
      </w:r>
    </w:p>
    <w:p w14:paraId="0B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7" w:name="sub_1015"/>
      <w:bookmarkEnd w:id="7"/>
      <w:r>
        <w:rPr>
          <w:rFonts w:ascii="Times New Roman" w:hAnsi="Times New Roman"/>
          <w:sz w:val="28"/>
        </w:rPr>
        <w:t>1.6. Исполнение настоящего Порядка обязательно для всех юридических лиц независимо от организационно-правовой формы, индивидуальных предпринимателей и физических лиц.</w:t>
      </w:r>
    </w:p>
    <w:p w14:paraId="0C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8" w:name="sub_1016"/>
      <w:bookmarkEnd w:id="8"/>
      <w:r>
        <w:rPr>
          <w:rFonts w:ascii="Times New Roman" w:hAnsi="Times New Roman"/>
          <w:sz w:val="28"/>
        </w:rPr>
        <w:t xml:space="preserve">1.7. В случае нарушения </w:t>
      </w:r>
      <w:hyperlink w:anchor="sub_1015" w:history="1">
        <w:r>
          <w:rPr>
            <w:rFonts w:ascii="Times New Roman" w:hAnsi="Times New Roman"/>
            <w:sz w:val="28"/>
          </w:rPr>
          <w:t>требований</w:t>
        </w:r>
      </w:hyperlink>
      <w:r>
        <w:rPr>
          <w:rFonts w:ascii="Times New Roman" w:hAnsi="Times New Roman"/>
          <w:sz w:val="28"/>
        </w:rPr>
        <w:t xml:space="preserve"> настоящего Порядка собственники земельных участков, на которых расположены временные сооружения </w:t>
      </w:r>
      <w:r>
        <w:rPr>
          <w:rFonts w:ascii="Times New Roman" w:hAnsi="Times New Roman"/>
          <w:sz w:val="28"/>
        </w:rPr>
        <w:br/>
        <w:t xml:space="preserve">или временные конструкции, предназначенные для осуществления торговой деятельности (оказания услуг), и (или) собственники временных сооружений </w:t>
      </w:r>
      <w:r>
        <w:rPr>
          <w:rFonts w:ascii="Times New Roman" w:hAnsi="Times New Roman"/>
          <w:sz w:val="28"/>
        </w:rPr>
        <w:br/>
        <w:t>или временных конструкций, предназначенные для осуществления торговой деятельности (оказания услуг)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несут ответственность в соответствии </w:t>
      </w:r>
      <w:r>
        <w:rPr>
          <w:rFonts w:ascii="Times New Roman" w:hAnsi="Times New Roman"/>
          <w:sz w:val="28"/>
        </w:rPr>
        <w:br/>
        <w:t>с действующим законодательством Российской Федерации.</w:t>
      </w:r>
    </w:p>
    <w:p w14:paraId="0D000000" w14:textId="77777777" w:rsidR="00A87AA2" w:rsidRDefault="00A87AA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0E000000" w14:textId="77777777" w:rsidR="00A87AA2" w:rsidRDefault="00FE4DB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26282F"/>
          <w:sz w:val="28"/>
        </w:rPr>
      </w:pPr>
      <w:bookmarkStart w:id="9" w:name="sub_1002"/>
      <w:bookmarkEnd w:id="9"/>
      <w:r>
        <w:rPr>
          <w:rFonts w:ascii="Times New Roman" w:hAnsi="Times New Roman"/>
          <w:b/>
          <w:color w:val="26282F"/>
          <w:sz w:val="28"/>
        </w:rPr>
        <w:t>2. Основные понятия</w:t>
      </w:r>
    </w:p>
    <w:p w14:paraId="0F000000" w14:textId="77777777" w:rsidR="00A87AA2" w:rsidRDefault="00A87AA2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26282F"/>
          <w:sz w:val="28"/>
        </w:rPr>
      </w:pPr>
    </w:p>
    <w:p w14:paraId="10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10" w:name="sub_1021"/>
      <w:bookmarkEnd w:id="10"/>
      <w:r>
        <w:rPr>
          <w:rFonts w:ascii="Times New Roman" w:hAnsi="Times New Roman"/>
          <w:sz w:val="28"/>
        </w:rPr>
        <w:t>2.1. В целях настоящего Порядка используются следующие понятия:</w:t>
      </w:r>
    </w:p>
    <w:p w14:paraId="11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НТО - временные сооружения или временные конструкции, предназначенные для осуществления торговой деятельности (оказания услуг);</w:t>
      </w:r>
    </w:p>
    <w:p w14:paraId="12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эскиз (эскизный план) НТО - графический материал (или фотомонтаж), содержащий, в том числе сведения о размерах, габаритах, материалах и цветовом решении;</w:t>
      </w:r>
    </w:p>
    <w:p w14:paraId="13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колористического решения - паспорт колористического решения фасадов зданий, строений, сооружений, ограждений по форме, установленной административным регламентом предоставления муниципальной услуги </w:t>
      </w:r>
      <w:r>
        <w:rPr>
          <w:rFonts w:ascii="Times New Roman" w:hAnsi="Times New Roman"/>
          <w:sz w:val="28"/>
        </w:rPr>
        <w:br/>
        <w:t>по оформлению паспорта колористического решения фасадов зданий, строений, сооружений, ограждений.</w:t>
      </w:r>
    </w:p>
    <w:p w14:paraId="14000000" w14:textId="77777777" w:rsidR="00A87AA2" w:rsidRDefault="00A87AA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15000000" w14:textId="77777777" w:rsidR="00A87AA2" w:rsidRDefault="00FE4DB5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26282F"/>
          <w:sz w:val="28"/>
        </w:rPr>
      </w:pPr>
      <w:bookmarkStart w:id="11" w:name="sub_1003"/>
      <w:r>
        <w:rPr>
          <w:rFonts w:ascii="Times New Roman" w:hAnsi="Times New Roman"/>
          <w:b/>
          <w:color w:val="26282F"/>
          <w:sz w:val="28"/>
        </w:rPr>
        <w:t>3. Порядок согласования размещения НТО</w:t>
      </w:r>
      <w:bookmarkEnd w:id="11"/>
    </w:p>
    <w:p w14:paraId="16000000" w14:textId="77777777" w:rsidR="00A87AA2" w:rsidRDefault="00A87AA2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26282F"/>
          <w:sz w:val="28"/>
        </w:rPr>
      </w:pPr>
    </w:p>
    <w:p w14:paraId="17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Для согласования размещения НТО лицо, планирующее </w:t>
      </w:r>
      <w:r>
        <w:rPr>
          <w:rFonts w:ascii="Times New Roman" w:hAnsi="Times New Roman"/>
          <w:sz w:val="28"/>
        </w:rPr>
        <w:br/>
        <w:t xml:space="preserve">его размещения (далее – заявитель), представляет в Администрацию следующие документы: </w:t>
      </w:r>
    </w:p>
    <w:p w14:paraId="18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согласно приложению к настоящему Порядку</w:t>
      </w:r>
      <w:bookmarkStart w:id="12" w:name="sub_10321"/>
      <w:r>
        <w:rPr>
          <w:rFonts w:ascii="Times New Roman" w:hAnsi="Times New Roman"/>
          <w:sz w:val="28"/>
        </w:rPr>
        <w:t>;</w:t>
      </w:r>
    </w:p>
    <w:p w14:paraId="19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подтверждение согласия собственника земельного участка на размещение на таком участке НТО (если заявитель не является собственником земельного участка, но является лицом, во владении и пользовании которого находится соответствующий земельный участок);</w:t>
      </w:r>
    </w:p>
    <w:p w14:paraId="1A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подтверждение согласия собственника земельного участка и лица, </w:t>
      </w:r>
      <w:r>
        <w:rPr>
          <w:rFonts w:ascii="Times New Roman" w:hAnsi="Times New Roman"/>
          <w:sz w:val="28"/>
        </w:rPr>
        <w:br/>
        <w:t xml:space="preserve">во владении и пользовании которого находится земельный участок, </w:t>
      </w:r>
      <w:r>
        <w:rPr>
          <w:rFonts w:ascii="Times New Roman" w:hAnsi="Times New Roman"/>
          <w:sz w:val="28"/>
        </w:rPr>
        <w:br/>
        <w:t>на размещение на таком участке НТО (если заявитель не является собственником земельного участка или лицом, во владении и пользовании которого находится земельный участок);</w:t>
      </w:r>
    </w:p>
    <w:p w14:paraId="1B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эскиз (эскизный план) НТО;</w:t>
      </w:r>
    </w:p>
    <w:p w14:paraId="1C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паспорт колористического решения (за исключением нестационарных строений, сооружений с типовым внешним видом, утвержденным в Правилах благоустройства территории);</w:t>
      </w:r>
      <w:bookmarkEnd w:id="12"/>
    </w:p>
    <w:p w14:paraId="1D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схему размещения НТО на земельном участке, которая изготавливается </w:t>
      </w:r>
      <w:r>
        <w:rPr>
          <w:rFonts w:ascii="Times New Roman" w:hAnsi="Times New Roman"/>
          <w:sz w:val="28"/>
        </w:rPr>
        <w:br/>
        <w:t>на инженерно-топографическом плане М 1:500 с указанием всех иных объектов (капитальных и не капительных), размещенных на земельном участке;</w:t>
      </w:r>
    </w:p>
    <w:p w14:paraId="1E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технические условия, полученные в организации, эксплуатирующей коммуникации (в случае необходимости подключения НТО к инженерным коммуникациям);</w:t>
      </w:r>
    </w:p>
    <w:p w14:paraId="1F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документ, подтверждающий полномочия представителя заявителя </w:t>
      </w:r>
      <w:r>
        <w:rPr>
          <w:rFonts w:ascii="Times New Roman" w:hAnsi="Times New Roman"/>
          <w:sz w:val="28"/>
        </w:rPr>
        <w:br/>
        <w:t>(в случае обращения с заявлением представителя заявителя).</w:t>
      </w:r>
    </w:p>
    <w:p w14:paraId="20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3" w:name="sub_10322"/>
      <w:r>
        <w:rPr>
          <w:rFonts w:ascii="Times New Roman" w:hAnsi="Times New Roman"/>
          <w:sz w:val="28"/>
        </w:rPr>
        <w:t xml:space="preserve">3.2. Отдел по потребительскому рынку </w:t>
      </w:r>
      <w:bookmarkEnd w:id="13"/>
      <w:r>
        <w:rPr>
          <w:rFonts w:ascii="Times New Roman" w:hAnsi="Times New Roman"/>
          <w:sz w:val="28"/>
        </w:rPr>
        <w:t>получает, в том числе в рамках межведомственного информационного взаимодействия с соответствующими органами:</w:t>
      </w:r>
    </w:p>
    <w:p w14:paraId="21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выписку из Единого государственного реестра юридических лиц </w:t>
      </w:r>
      <w:r>
        <w:rPr>
          <w:rFonts w:ascii="Times New Roman" w:hAnsi="Times New Roman"/>
          <w:sz w:val="28"/>
        </w:rPr>
        <w:br/>
        <w:t>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</w:t>
      </w:r>
    </w:p>
    <w:p w14:paraId="22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выписку из Единого государственного реестра недвижимости (далее - ЕГРН) на земельный участок; </w:t>
      </w:r>
    </w:p>
    <w:p w14:paraId="23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</w:t>
      </w:r>
      <w:r>
        <w:rPr>
          <w:rFonts w:ascii="Times New Roman" w:hAnsi="Times New Roman"/>
          <w:color w:val="000000" w:themeColor="text1"/>
          <w:sz w:val="28"/>
        </w:rPr>
        <w:t>смежных землепользователях, обеспеченности подъездными путями, характеристиках и расположении инженерных сетей, коммуникаций, сооружений, зданий, наличии охраняемых объектов, наличия охранных, санитарно-защитных и иных зон.</w:t>
      </w:r>
    </w:p>
    <w:p w14:paraId="24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Заявитель вправе представить указанные в </w:t>
      </w:r>
      <w:hyperlink w:anchor="sub_10322" w:history="1">
        <w:r>
          <w:rPr>
            <w:rFonts w:ascii="Times New Roman" w:hAnsi="Times New Roman"/>
            <w:color w:val="000000" w:themeColor="text1"/>
            <w:sz w:val="28"/>
          </w:rPr>
          <w:t>пункте 3.2</w:t>
        </w:r>
      </w:hyperlink>
      <w:r>
        <w:rPr>
          <w:rFonts w:ascii="Times New Roman" w:hAnsi="Times New Roman"/>
          <w:sz w:val="28"/>
        </w:rPr>
        <w:t xml:space="preserve"> настоящего Порядка документы по собственной инициативе. </w:t>
      </w:r>
    </w:p>
    <w:p w14:paraId="25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Администрацией создается Комиссия по рассмотрению заявлений </w:t>
      </w:r>
      <w:r>
        <w:rPr>
          <w:rFonts w:ascii="Times New Roman" w:hAnsi="Times New Roman"/>
          <w:sz w:val="28"/>
        </w:rPr>
        <w:br/>
        <w:t xml:space="preserve">на размещение некапитальных (нестационарных) строений и сооружений </w:t>
      </w:r>
      <w:r>
        <w:rPr>
          <w:rFonts w:ascii="Times New Roman" w:hAnsi="Times New Roman"/>
          <w:sz w:val="28"/>
        </w:rPr>
        <w:br/>
        <w:t xml:space="preserve">на территории Талдомского городского округа (далее - Комиссия) </w:t>
      </w:r>
      <w:r>
        <w:rPr>
          <w:rFonts w:ascii="Times New Roman" w:hAnsi="Times New Roman"/>
          <w:sz w:val="28"/>
        </w:rPr>
        <w:br/>
        <w:t>и определяется порядок ее работы либо принимается решение о возложении функций Комиссии на действующий коллегиальный орган в сфере потребительского рынка и услуг.</w:t>
      </w:r>
    </w:p>
    <w:p w14:paraId="26000000" w14:textId="75E81207" w:rsidR="00A87AA2" w:rsidRPr="00FE4DB5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4DB5">
        <w:rPr>
          <w:rFonts w:ascii="Times New Roman" w:hAnsi="Times New Roman"/>
          <w:color w:val="000000" w:themeColor="text1"/>
          <w:sz w:val="28"/>
        </w:rPr>
        <w:t xml:space="preserve">3.5. Решение о согласовании размещения НТО или уведомление о несоответствии планируемого к размещению НТО установленным Правилами благоустройства требованиям принимается Комиссией, которое оформляется протоколом заседания Комиссии. </w:t>
      </w:r>
      <w:bookmarkStart w:id="14" w:name="sub_1034"/>
    </w:p>
    <w:p w14:paraId="27000000" w14:textId="668A224B" w:rsidR="00A87AA2" w:rsidRPr="00FE4DB5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4DB5">
        <w:rPr>
          <w:rFonts w:ascii="Times New Roman" w:hAnsi="Times New Roman"/>
          <w:color w:val="000000" w:themeColor="text1"/>
          <w:sz w:val="28"/>
        </w:rPr>
        <w:t xml:space="preserve">3.6. На основании протокола, указанного в пункте 3.5 настоящего Порядка, Администрация Талдомского городского округа в лице отдела по потребительскому рынку Комитета по экономике администрации Талдомского городского округа Московской области принимает Решение </w:t>
      </w:r>
      <w:r w:rsidRPr="00FE4DB5">
        <w:rPr>
          <w:rFonts w:ascii="Times New Roman" w:hAnsi="Times New Roman"/>
          <w:color w:val="000000" w:themeColor="text1"/>
          <w:sz w:val="28"/>
        </w:rPr>
        <w:br/>
        <w:t xml:space="preserve">о согласовании размещения НТО, либо направляет его владельцу уведомление о </w:t>
      </w:r>
      <w:proofErr w:type="spellStart"/>
      <w:r w:rsidRPr="00FE4DB5">
        <w:rPr>
          <w:rFonts w:ascii="Times New Roman" w:hAnsi="Times New Roman"/>
          <w:color w:val="000000" w:themeColor="text1"/>
          <w:sz w:val="28"/>
        </w:rPr>
        <w:t>несоотвествии</w:t>
      </w:r>
      <w:proofErr w:type="spellEnd"/>
      <w:r w:rsidRPr="00FE4DB5">
        <w:rPr>
          <w:rFonts w:ascii="Times New Roman" w:hAnsi="Times New Roman"/>
          <w:color w:val="000000" w:themeColor="text1"/>
          <w:sz w:val="28"/>
        </w:rPr>
        <w:t xml:space="preserve"> планируемого к размещению НТО установленным Правилами благоустройства требованиям.</w:t>
      </w:r>
    </w:p>
    <w:p w14:paraId="28000000" w14:textId="77777777" w:rsidR="00A87AA2" w:rsidRPr="00FE4DB5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4DB5">
        <w:rPr>
          <w:rFonts w:ascii="Times New Roman" w:hAnsi="Times New Roman"/>
          <w:color w:val="000000" w:themeColor="text1"/>
          <w:sz w:val="28"/>
        </w:rPr>
        <w:t xml:space="preserve">3.7. Срок принятия Решения составляет не более 10 (десяти) рабочих дней </w:t>
      </w:r>
      <w:r w:rsidRPr="00FE4DB5">
        <w:rPr>
          <w:rFonts w:ascii="Times New Roman" w:hAnsi="Times New Roman"/>
          <w:color w:val="000000" w:themeColor="text1"/>
          <w:sz w:val="28"/>
        </w:rPr>
        <w:br/>
        <w:t>со дня обращения заявителя.</w:t>
      </w:r>
    </w:p>
    <w:p w14:paraId="29000000" w14:textId="15D53509" w:rsidR="00A87AA2" w:rsidRPr="00FE4DB5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5" w:name="sub_1036"/>
      <w:bookmarkEnd w:id="14"/>
      <w:bookmarkEnd w:id="15"/>
      <w:r w:rsidRPr="00FE4DB5">
        <w:rPr>
          <w:rFonts w:ascii="Times New Roman" w:hAnsi="Times New Roman"/>
          <w:color w:val="000000" w:themeColor="text1"/>
          <w:sz w:val="28"/>
        </w:rPr>
        <w:lastRenderedPageBreak/>
        <w:t xml:space="preserve">3.8. Основания для принятия Комиссией решения о направлении владельцу НТО уведомления о </w:t>
      </w:r>
      <w:proofErr w:type="spellStart"/>
      <w:r w:rsidRPr="00FE4DB5">
        <w:rPr>
          <w:rFonts w:ascii="Times New Roman" w:hAnsi="Times New Roman"/>
          <w:color w:val="000000" w:themeColor="text1"/>
          <w:sz w:val="28"/>
        </w:rPr>
        <w:t>несоотвествии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FE4DB5">
        <w:rPr>
          <w:rFonts w:ascii="Times New Roman" w:hAnsi="Times New Roman"/>
          <w:color w:val="000000" w:themeColor="text1"/>
          <w:sz w:val="28"/>
        </w:rPr>
        <w:t>планируемого к размещению НТО установленным Правилами благоустройства требованиям и необходимых к принятию мерах для согласования его размещения:</w:t>
      </w:r>
    </w:p>
    <w:p w14:paraId="2A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разрешенного использования земельного участка не предусматривает размещение указанного в заявлении НТО;</w:t>
      </w:r>
    </w:p>
    <w:p w14:paraId="2B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неполного пакета документов, предусмотренного пунктом 3.1 настоящего Порядка;</w:t>
      </w:r>
    </w:p>
    <w:p w14:paraId="2C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действия которых на момент поступления в Администрацию истек;</w:t>
      </w:r>
    </w:p>
    <w:p w14:paraId="2D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НТО и (или) планируемого места его размещения требованиям Правил благоустройства.</w:t>
      </w:r>
    </w:p>
    <w:p w14:paraId="2E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В случае, если собственник планирует вносить изменения </w:t>
      </w:r>
      <w:r>
        <w:rPr>
          <w:rFonts w:ascii="Times New Roman" w:hAnsi="Times New Roman"/>
          <w:sz w:val="28"/>
        </w:rPr>
        <w:br/>
        <w:t>в характеристики НТО, заявленные при его размещении, собственник НТО направляет в Администрацию информацию о планируемых изменениях.</w:t>
      </w:r>
    </w:p>
    <w:p w14:paraId="2F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Согласование вносимых изменений осуществляется в порядке, установленном пунктами 3.5 – 3.7 настоящего Порядка.</w:t>
      </w:r>
    </w:p>
    <w:p w14:paraId="30000000" w14:textId="77777777" w:rsidR="00A87AA2" w:rsidRPr="00FE4DB5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4DB5">
        <w:rPr>
          <w:rFonts w:ascii="Times New Roman" w:hAnsi="Times New Roman"/>
          <w:color w:val="000000" w:themeColor="text1"/>
          <w:sz w:val="28"/>
        </w:rPr>
        <w:t>Основания для приведения в соответствие о согласовании изменений в характеристики НТО:</w:t>
      </w:r>
    </w:p>
    <w:p w14:paraId="31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разрешенного использования земельного участка не предусматривает внесение заявленных изменений;</w:t>
      </w:r>
    </w:p>
    <w:p w14:paraId="32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недостоверной, искаженной или неполной информации;</w:t>
      </w:r>
    </w:p>
    <w:p w14:paraId="33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планируемых изменений требованиям Правилам благоустройства.</w:t>
      </w:r>
    </w:p>
    <w:p w14:paraId="34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Отдел по потребительскому рынку ведет Реестр НТО на земельных участках, находящихся в частной собственности.</w:t>
      </w:r>
    </w:p>
    <w:p w14:paraId="35000000" w14:textId="77777777" w:rsidR="00A87AA2" w:rsidRDefault="00A87AA2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26282F"/>
          <w:sz w:val="28"/>
        </w:rPr>
      </w:pPr>
      <w:bookmarkStart w:id="16" w:name="sub_1039"/>
      <w:bookmarkStart w:id="17" w:name="sub_1004"/>
      <w:bookmarkEnd w:id="16"/>
      <w:bookmarkEnd w:id="17"/>
    </w:p>
    <w:p w14:paraId="36000000" w14:textId="77777777" w:rsidR="00A87AA2" w:rsidRDefault="00FE4DB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26282F"/>
          <w:sz w:val="28"/>
        </w:rPr>
      </w:pPr>
      <w:r>
        <w:rPr>
          <w:rFonts w:ascii="Times New Roman" w:hAnsi="Times New Roman"/>
          <w:b/>
          <w:color w:val="26282F"/>
          <w:sz w:val="28"/>
        </w:rPr>
        <w:t xml:space="preserve">4. Общие требования к НТО, их размещению, эксплуатации, содержанию </w:t>
      </w:r>
      <w:r>
        <w:rPr>
          <w:rFonts w:ascii="Times New Roman" w:hAnsi="Times New Roman"/>
          <w:b/>
          <w:color w:val="26282F"/>
          <w:sz w:val="28"/>
        </w:rPr>
        <w:br/>
        <w:t>и благоустройству прилегающей территории</w:t>
      </w:r>
    </w:p>
    <w:p w14:paraId="37000000" w14:textId="77777777" w:rsidR="00A87AA2" w:rsidRDefault="00A87AA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38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8" w:name="sub_1041"/>
      <w:bookmarkEnd w:id="18"/>
      <w:r>
        <w:rPr>
          <w:rFonts w:ascii="Times New Roman" w:hAnsi="Times New Roman"/>
          <w:sz w:val="28"/>
        </w:rPr>
        <w:t xml:space="preserve">4.1. Размещение и эксплуатация НТО допускается при условии соответствия, требованиям к удаленности НТО от зданий и сооружений, к сочетанию НТО с иными элементами благоустройства, к внешнему облику, габаритам, размерам и техническим (конструктивным) особенностям НТО , и иным обязательным требованиям, установленным ст. 54.1 утвержденных Решением Совета депутатов Талдомского городского округа МО от 29.10.2020 N 79 Правил по благоустройству Талдомского городского округа Московской области,  в соответствии с </w:t>
      </w:r>
      <w:hyperlink r:id="rId9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Московской области № 191/2014-ОЗ </w:t>
      </w:r>
      <w:r>
        <w:rPr>
          <w:rFonts w:ascii="Times New Roman" w:hAnsi="Times New Roman"/>
          <w:sz w:val="28"/>
        </w:rPr>
        <w:br/>
        <w:t xml:space="preserve">«О регулировании дополнительных вопросов в сфере благоустройства </w:t>
      </w:r>
      <w:r>
        <w:rPr>
          <w:rFonts w:ascii="Times New Roman" w:hAnsi="Times New Roman"/>
          <w:sz w:val="28"/>
        </w:rPr>
        <w:br/>
        <w:t>в Московской области».</w:t>
      </w:r>
    </w:p>
    <w:p w14:paraId="39000000" w14:textId="77777777" w:rsidR="00A87AA2" w:rsidRDefault="00FE4D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</w:t>
      </w:r>
      <w:bookmarkStart w:id="19" w:name="sub_1043"/>
      <w:r>
        <w:rPr>
          <w:rFonts w:ascii="Times New Roman" w:hAnsi="Times New Roman"/>
          <w:sz w:val="28"/>
        </w:rPr>
        <w:t xml:space="preserve">Размещение НТО на территории Талдомского городского округа не должно нарушать условия инсоляции территории и зданий, рядом с которыми они расположены, ухудшать визуальное восприятие среды населенного пункта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 xml:space="preserve">и благоустройство территории и застройки. </w:t>
      </w:r>
    </w:p>
    <w:p w14:paraId="3A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НТО не должны размещаться в местах, где их установка </w:t>
      </w:r>
      <w:r>
        <w:rPr>
          <w:rFonts w:ascii="Times New Roman" w:hAnsi="Times New Roman"/>
          <w:sz w:val="28"/>
        </w:rPr>
        <w:br/>
        <w:t>и эксплуатация могут создавать помехи при эксплуатации и ремонте зданий, строений и сооружений, помехи для прохода пешеходов и механизированной уборки территории.</w:t>
      </w:r>
    </w:p>
    <w:p w14:paraId="3B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20" w:name="sub_1044"/>
      <w:bookmarkEnd w:id="19"/>
      <w:r>
        <w:rPr>
          <w:rFonts w:ascii="Times New Roman" w:hAnsi="Times New Roman"/>
          <w:sz w:val="28"/>
        </w:rPr>
        <w:t xml:space="preserve">4.4. </w:t>
      </w:r>
      <w:bookmarkStart w:id="21" w:name="sub_1045"/>
      <w:bookmarkEnd w:id="20"/>
      <w:r>
        <w:rPr>
          <w:rFonts w:ascii="Times New Roman" w:hAnsi="Times New Roman"/>
          <w:sz w:val="28"/>
        </w:rPr>
        <w:t>Размещение НТО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14:paraId="3C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22" w:name="sub_1046"/>
      <w:bookmarkEnd w:id="21"/>
      <w:bookmarkEnd w:id="22"/>
      <w:r>
        <w:rPr>
          <w:rFonts w:ascii="Times New Roman" w:hAnsi="Times New Roman"/>
          <w:sz w:val="28"/>
        </w:rPr>
        <w:t xml:space="preserve">4.5. Не допускается размещение НТО в арках зданий, на газонах </w:t>
      </w:r>
      <w:r>
        <w:rPr>
          <w:rFonts w:ascii="Times New Roman" w:hAnsi="Times New Roman"/>
          <w:sz w:val="28"/>
        </w:rPr>
        <w:br/>
        <w:t xml:space="preserve">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</w:t>
      </w:r>
      <w:r>
        <w:rPr>
          <w:rFonts w:ascii="Times New Roman" w:hAnsi="Times New Roman"/>
          <w:sz w:val="28"/>
        </w:rPr>
        <w:br/>
        <w:t>в охранной зоне водопроводных, канализационных, электрических, кабельных сетей связи, трубопроводов, а также ближе 5 м от остановочных павильонов, 25 м - от вентиляционных шахт, 20 м - от окон жилых помещений, перед витринами торговых организаций, 3 м - от ствола дерева, 1,5 м - от внешней границы кроны кустарника.</w:t>
      </w:r>
    </w:p>
    <w:p w14:paraId="3D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23" w:name="sub_1047"/>
      <w:bookmarkEnd w:id="23"/>
      <w:r>
        <w:rPr>
          <w:rFonts w:ascii="Times New Roman" w:hAnsi="Times New Roman"/>
          <w:sz w:val="28"/>
        </w:rPr>
        <w:t>4.6. Места размещения НТО должны оборудоваться осветительным оборудованием, урнами и мусорными контейнерами в соответствии с Правилами благоустройства.</w:t>
      </w:r>
    </w:p>
    <w:p w14:paraId="3E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24" w:name="sub_1048"/>
      <w:bookmarkEnd w:id="24"/>
      <w:r>
        <w:rPr>
          <w:rFonts w:ascii="Times New Roman" w:hAnsi="Times New Roman"/>
          <w:sz w:val="28"/>
        </w:rPr>
        <w:t>4.7. При производстве работ по установке и монтажу НТО заявитель несет ответственность в соответствии с действующим законодательством Российской Федерации за нарушения правил безопасности, а также за аварийные ситуации, возникшие из-за нарушений условий монтажа.</w:t>
      </w:r>
    </w:p>
    <w:p w14:paraId="3F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Размещенное НТО должно соответствовать документам, представленным при согласовании его размещения либо информации, представленной при согласовании изменений характеристик НТО.</w:t>
      </w:r>
    </w:p>
    <w:p w14:paraId="40000000" w14:textId="77777777" w:rsidR="00A87AA2" w:rsidRDefault="00FE4D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25" w:name="sub_1049"/>
      <w:r>
        <w:rPr>
          <w:rFonts w:ascii="Times New Roman" w:hAnsi="Times New Roman"/>
          <w:sz w:val="28"/>
        </w:rPr>
        <w:t xml:space="preserve">4.9. Заявитель обязан размещать и эксплуатировать (содержать) НТО </w:t>
      </w:r>
      <w:r>
        <w:rPr>
          <w:rFonts w:ascii="Times New Roman" w:hAnsi="Times New Roman"/>
          <w:sz w:val="28"/>
        </w:rPr>
        <w:br/>
        <w:t xml:space="preserve">в соответствии с </w:t>
      </w:r>
      <w:hyperlink r:id="rId10" w:history="1">
        <w:r>
          <w:rPr>
            <w:rFonts w:ascii="Times New Roman" w:hAnsi="Times New Roman"/>
            <w:sz w:val="28"/>
          </w:rPr>
          <w:t>Правилами</w:t>
        </w:r>
      </w:hyperlink>
      <w:r>
        <w:rPr>
          <w:rFonts w:ascii="Times New Roman" w:hAnsi="Times New Roman"/>
          <w:sz w:val="28"/>
        </w:rPr>
        <w:t xml:space="preserve"> благоустройства, своевременно выполнять </w:t>
      </w:r>
      <w:r>
        <w:rPr>
          <w:rFonts w:ascii="Times New Roman" w:hAnsi="Times New Roman"/>
          <w:sz w:val="28"/>
        </w:rPr>
        <w:br/>
        <w:t>его ремонт, содержать прилегающую территорию в чистоте и порядке.</w:t>
      </w:r>
      <w:bookmarkEnd w:id="25"/>
    </w:p>
    <w:p w14:paraId="41000000" w14:textId="77777777" w:rsidR="00A87AA2" w:rsidRDefault="00A87AA2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42000000" w14:textId="77777777" w:rsidR="00A87AA2" w:rsidRDefault="00FE4DB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Демонтаж НТО</w:t>
      </w:r>
    </w:p>
    <w:p w14:paraId="43000000" w14:textId="77777777" w:rsidR="00A87AA2" w:rsidRDefault="00A87AA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4000000" w14:textId="77777777" w:rsidR="00A87AA2" w:rsidRDefault="00FE4DB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НТО, размещенные без согласования Администрации, а также размещенные с нарушением заявленных при согласовании характеристик </w:t>
      </w:r>
      <w:r>
        <w:rPr>
          <w:rFonts w:ascii="Times New Roman" w:hAnsi="Times New Roman"/>
          <w:sz w:val="28"/>
        </w:rPr>
        <w:br/>
        <w:t>и условий, подлежат демонтажу.</w:t>
      </w:r>
    </w:p>
    <w:p w14:paraId="45000000" w14:textId="77777777" w:rsidR="00A87AA2" w:rsidRDefault="00FE4DB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Способами выявления НТО, размещенных с нарушениями настоящего Порядка, являются:</w:t>
      </w:r>
    </w:p>
    <w:p w14:paraId="46000000" w14:textId="77777777" w:rsidR="00A87AA2" w:rsidRDefault="00FE4DB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обращения физических или юридических лиц;</w:t>
      </w:r>
    </w:p>
    <w:p w14:paraId="47000000" w14:textId="77777777" w:rsidR="00A87AA2" w:rsidRDefault="00FE4DB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обнаружение в ходе инвентаризации объектов благоустройства </w:t>
      </w:r>
      <w:r>
        <w:rPr>
          <w:rFonts w:ascii="Times New Roman" w:hAnsi="Times New Roman"/>
          <w:sz w:val="28"/>
        </w:rPr>
        <w:br/>
        <w:t>на территории Талдомского городского округа;</w:t>
      </w:r>
    </w:p>
    <w:p w14:paraId="48000000" w14:textId="77777777" w:rsidR="00A87AA2" w:rsidRDefault="00FE4DB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обнаружения в ходе мониторинга использования земель;</w:t>
      </w:r>
    </w:p>
    <w:p w14:paraId="49000000" w14:textId="77777777" w:rsidR="00A87AA2" w:rsidRDefault="00FE4DB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 фиксации НТО органами контроля в сфере благоустройства.</w:t>
      </w:r>
    </w:p>
    <w:p w14:paraId="4A000000" w14:textId="77777777" w:rsidR="00A87AA2" w:rsidRDefault="00FE4DB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5.2. Администрацией в лице отдела по потребительскому рынку создается Рабочая группа по проведению осмотров НТО (далее – Рабочая группа) и определяется порядок ее работы.</w:t>
      </w:r>
    </w:p>
    <w:p w14:paraId="4B000000" w14:textId="77777777" w:rsidR="00A87AA2" w:rsidRDefault="00FE4DB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5.3. Рабочей группой составляется Акта визуального осмотра НТО </w:t>
      </w:r>
      <w:r>
        <w:rPr>
          <w:rFonts w:ascii="Times New Roman" w:hAnsi="Times New Roman"/>
          <w:sz w:val="28"/>
        </w:rPr>
        <w:br/>
        <w:t xml:space="preserve">с приложением фотоматериалов. На фото должны быть зафиксированы общее положение НТО на местности, видимые нарушения, в том числе явные несоответствия минимальных расстояний. </w:t>
      </w:r>
    </w:p>
    <w:p w14:paraId="4C000000" w14:textId="77777777" w:rsidR="00A87AA2" w:rsidRDefault="00FE4DB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Рабочая группа выносит материалы по вопросу нарушений размещения и эксплуатации НТО на Комиссию.</w:t>
      </w:r>
    </w:p>
    <w:p w14:paraId="4D000000" w14:textId="77777777" w:rsidR="00A87AA2" w:rsidRDefault="00FE4DB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материалов Комиссия принимает решение </w:t>
      </w:r>
      <w:r>
        <w:rPr>
          <w:rFonts w:ascii="Times New Roman" w:hAnsi="Times New Roman"/>
          <w:sz w:val="28"/>
        </w:rPr>
        <w:br/>
        <w:t>о демонтаже НТО.</w:t>
      </w:r>
    </w:p>
    <w:p w14:paraId="4E000000" w14:textId="77777777" w:rsidR="00A87AA2" w:rsidRDefault="00FE4DB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Администрация в лице отдела по потребительскому рынку направляет собственнику НТО требования о добровольном демонтаже НТО.</w:t>
      </w:r>
    </w:p>
    <w:p w14:paraId="4F000000" w14:textId="77777777" w:rsidR="00A87AA2" w:rsidRDefault="00FE4DB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Требование направляется заказным письмом с уведомлением </w:t>
      </w:r>
      <w:r>
        <w:rPr>
          <w:rFonts w:ascii="Times New Roman" w:hAnsi="Times New Roman"/>
          <w:sz w:val="28"/>
        </w:rPr>
        <w:br/>
        <w:t xml:space="preserve">либо вручается нарочно под роспись, а также размещается на НТО </w:t>
      </w:r>
      <w:r>
        <w:rPr>
          <w:rFonts w:ascii="Times New Roman" w:hAnsi="Times New Roman"/>
          <w:sz w:val="28"/>
        </w:rPr>
        <w:br/>
        <w:t xml:space="preserve">с </w:t>
      </w:r>
      <w:proofErr w:type="spellStart"/>
      <w:r>
        <w:rPr>
          <w:rFonts w:ascii="Times New Roman" w:hAnsi="Times New Roman"/>
          <w:sz w:val="28"/>
        </w:rPr>
        <w:t>фотофиксацией</w:t>
      </w:r>
      <w:proofErr w:type="spellEnd"/>
      <w:r>
        <w:rPr>
          <w:rFonts w:ascii="Times New Roman" w:hAnsi="Times New Roman"/>
          <w:sz w:val="28"/>
        </w:rPr>
        <w:t>. Срок для добровольного демонтажа составляет 30 (тридцать) календарных дней.</w:t>
      </w:r>
    </w:p>
    <w:p w14:paraId="50000000" w14:textId="77777777" w:rsidR="00A87AA2" w:rsidRDefault="00FE4DB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При отказе от добровольного демонтажа Администрация в лице отдела по потребительскому рынку направляет в суд исковое заявление о демонтаже НТО.</w:t>
      </w:r>
      <w:r>
        <w:br w:type="page"/>
      </w:r>
    </w:p>
    <w:p w14:paraId="51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Приложение </w:t>
      </w:r>
    </w:p>
    <w:p w14:paraId="52000000" w14:textId="77777777" w:rsidR="00A87AA2" w:rsidRDefault="00FE4DB5">
      <w:pPr>
        <w:pStyle w:val="a3"/>
        <w:tabs>
          <w:tab w:val="left" w:pos="1134"/>
        </w:tabs>
        <w:spacing w:after="0"/>
        <w:ind w:left="49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размещения временных сооружений или временных конструкций, предназначенных для осуществления торговой деятельности (оказания услуг) на территории Талдомского городского округа Московской области на земельных участках, находящихся в частной собственности</w:t>
      </w:r>
    </w:p>
    <w:p w14:paraId="53000000" w14:textId="77777777" w:rsidR="00A87AA2" w:rsidRDefault="00A87AA2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</w:p>
    <w:p w14:paraId="54000000" w14:textId="77777777" w:rsidR="00A87AA2" w:rsidRDefault="00A87AA2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</w:p>
    <w:p w14:paraId="55000000" w14:textId="77777777" w:rsidR="00A87AA2" w:rsidRDefault="00FE4DB5">
      <w:pPr>
        <w:pStyle w:val="a3"/>
        <w:tabs>
          <w:tab w:val="left" w:pos="1134"/>
        </w:tabs>
        <w:spacing w:after="0"/>
        <w:ind w:left="49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администрацию Талдомского городского округа</w:t>
      </w:r>
    </w:p>
    <w:p w14:paraId="56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от _______________________________</w:t>
      </w:r>
    </w:p>
    <w:p w14:paraId="57000000" w14:textId="77777777" w:rsidR="00A87AA2" w:rsidRDefault="00FE4DB5">
      <w:pPr>
        <w:pStyle w:val="a3"/>
        <w:tabs>
          <w:tab w:val="left" w:pos="1134"/>
        </w:tabs>
        <w:spacing w:after="0"/>
        <w:ind w:left="49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и ИНН - для юридических лиц, Ф.И.О. и ИНН - для физических лиц)</w:t>
      </w:r>
    </w:p>
    <w:p w14:paraId="58000000" w14:textId="77777777" w:rsidR="00A87AA2" w:rsidRDefault="00A87AA2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</w:p>
    <w:p w14:paraId="59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 ____________________________</w:t>
      </w:r>
    </w:p>
    <w:p w14:paraId="5A000000" w14:textId="77777777" w:rsidR="00A87AA2" w:rsidRDefault="00FE4DB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Контактный телефон _______________</w:t>
      </w:r>
    </w:p>
    <w:p w14:paraId="5B000000" w14:textId="77777777" w:rsidR="00A87AA2" w:rsidRDefault="00FE4DB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 электронной почты ___________</w:t>
      </w:r>
    </w:p>
    <w:p w14:paraId="5C000000" w14:textId="77777777" w:rsidR="00A87AA2" w:rsidRDefault="00A87AA2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</w:p>
    <w:p w14:paraId="5D000000" w14:textId="77777777" w:rsidR="00A87AA2" w:rsidRDefault="00A87AA2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</w:p>
    <w:p w14:paraId="5E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5F000000" w14:textId="77777777" w:rsidR="00A87AA2" w:rsidRDefault="00A87AA2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</w:p>
    <w:p w14:paraId="60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согласовать размещение временного сооружения или временной конструкции, предназначенных для осуществления торговой деятельности (оказания услуг) на территории Талдомского городского округа Московской области, а именно:</w:t>
      </w:r>
    </w:p>
    <w:p w14:paraId="61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 временного сооружения или временной конструкции _____________;</w:t>
      </w:r>
    </w:p>
    <w:p w14:paraId="62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площадь ______________ </w:t>
      </w:r>
      <w:proofErr w:type="spellStart"/>
      <w:r>
        <w:rPr>
          <w:rFonts w:ascii="Times New Roman" w:hAnsi="Times New Roman"/>
          <w:sz w:val="28"/>
        </w:rPr>
        <w:t>кв.м</w:t>
      </w:r>
      <w:proofErr w:type="spellEnd"/>
      <w:r>
        <w:rPr>
          <w:rFonts w:ascii="Times New Roman" w:hAnsi="Times New Roman"/>
          <w:sz w:val="28"/>
        </w:rPr>
        <w:t>;</w:t>
      </w:r>
    </w:p>
    <w:p w14:paraId="63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______________________________________________________;</w:t>
      </w:r>
    </w:p>
    <w:p w14:paraId="64000000" w14:textId="77777777" w:rsidR="00A87AA2" w:rsidRDefault="00FE4DB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земельном участке, расположенном по адресу: __________________________ (кадастровый номер _____________________).</w:t>
      </w:r>
    </w:p>
    <w:p w14:paraId="65000000" w14:textId="77777777" w:rsidR="00A87AA2" w:rsidRDefault="00A87AA2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</w:p>
    <w:p w14:paraId="66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 (документы, которые прилагает заявитель)</w:t>
      </w:r>
    </w:p>
    <w:p w14:paraId="67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</w:p>
    <w:p w14:paraId="68000000" w14:textId="77777777" w:rsidR="00A87AA2" w:rsidRDefault="00FE4DB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</w:p>
    <w:sectPr w:rsidR="00A87AA2">
      <w:pgSz w:w="11906" w:h="16838"/>
      <w:pgMar w:top="1134" w:right="850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A2"/>
    <w:rsid w:val="00223880"/>
    <w:rsid w:val="006670B1"/>
    <w:rsid w:val="008E173B"/>
    <w:rsid w:val="00A87AA2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0">
    <w:name w:val="toc 2"/>
    <w:next w:val="a"/>
    <w:link w:val="210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40">
    <w:name w:val="Заголовок 4 Знак"/>
    <w:link w:val="42"/>
    <w:rPr>
      <w:rFonts w:ascii="XO Thames" w:hAnsi="XO Thames"/>
      <w:b/>
      <w:sz w:val="24"/>
    </w:rPr>
  </w:style>
  <w:style w:type="character" w:customStyle="1" w:styleId="42">
    <w:name w:val="Заголовок 4 Знак"/>
    <w:link w:val="40"/>
    <w:rPr>
      <w:rFonts w:ascii="XO Thames" w:hAnsi="XO Thames"/>
      <w:b/>
      <w:sz w:val="24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43">
    <w:name w:val="toc 4"/>
    <w:next w:val="a"/>
    <w:link w:val="410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3"/>
    <w:rPr>
      <w:rFonts w:ascii="XO Thames" w:hAnsi="XO Thames"/>
      <w:color w:val="000000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50">
    <w:name w:val="Оглавление 5 Знак"/>
    <w:link w:val="52"/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styleId="6">
    <w:name w:val="toc 6"/>
    <w:next w:val="a"/>
    <w:link w:val="61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Times New Roman" w:hAnsi="Times New Roman"/>
      <w:sz w:val="24"/>
    </w:rPr>
  </w:style>
  <w:style w:type="character" w:customStyle="1" w:styleId="ConsPlusNormal10">
    <w:name w:val="ConsPlusNormal1"/>
    <w:link w:val="ConsPlusNormal1"/>
    <w:rPr>
      <w:rFonts w:ascii="Times New Roman" w:hAnsi="Times New Roman"/>
      <w:color w:val="000000"/>
      <w:sz w:val="24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22">
    <w:name w:val="Заголовок 2 Знак"/>
    <w:link w:val="23"/>
    <w:rPr>
      <w:rFonts w:ascii="XO Thames" w:hAnsi="XO Thames"/>
      <w:b/>
      <w:sz w:val="28"/>
    </w:rPr>
  </w:style>
  <w:style w:type="character" w:customStyle="1" w:styleId="23">
    <w:name w:val="Заголовок 2 Знак"/>
    <w:link w:val="22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link w:val="3"/>
    <w:rPr>
      <w:rFonts w:ascii="XO Thames" w:hAnsi="XO Thames"/>
      <w:b/>
      <w:color w:val="000000"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color w:val="000000"/>
      <w:sz w:val="16"/>
    </w:rPr>
  </w:style>
  <w:style w:type="paragraph" w:customStyle="1" w:styleId="Footnote1">
    <w:name w:val="Footnote1"/>
    <w:link w:val="Foot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a9">
    <w:name w:val="Подзаголовок Знак"/>
    <w:link w:val="aa"/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sz w:val="28"/>
    </w:rPr>
  </w:style>
  <w:style w:type="paragraph" w:customStyle="1" w:styleId="12">
    <w:name w:val="Заголовок 1 Знак"/>
    <w:basedOn w:val="13"/>
    <w:link w:val="14"/>
    <w:rPr>
      <w:rFonts w:ascii="Times New Roman CYR" w:hAnsi="Times New Roman CYR"/>
      <w:b/>
      <w:color w:val="26282F"/>
      <w:sz w:val="24"/>
    </w:rPr>
  </w:style>
  <w:style w:type="character" w:customStyle="1" w:styleId="14">
    <w:name w:val="Заголовок 1 Знак"/>
    <w:basedOn w:val="15"/>
    <w:link w:val="12"/>
    <w:rPr>
      <w:rFonts w:ascii="Times New Roman CYR" w:hAnsi="Times New Roman CYR"/>
      <w:b/>
      <w:color w:val="26282F"/>
      <w:sz w:val="24"/>
    </w:rPr>
  </w:style>
  <w:style w:type="paragraph" w:customStyle="1" w:styleId="ab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paragraph" w:styleId="30">
    <w:name w:val="toc 3"/>
    <w:next w:val="a"/>
    <w:link w:val="310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0"/>
    <w:rPr>
      <w:rFonts w:ascii="XO Thames" w:hAnsi="XO Thames"/>
      <w:color w:val="000000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Endnote1">
    <w:name w:val="Endnote1"/>
    <w:link w:val="End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z w:val="22"/>
    </w:rPr>
  </w:style>
  <w:style w:type="paragraph" w:customStyle="1" w:styleId="32">
    <w:name w:val="Заголовок 3 Знак"/>
    <w:link w:val="33"/>
    <w:rPr>
      <w:rFonts w:ascii="XO Thames" w:hAnsi="XO Thames"/>
      <w:b/>
      <w:sz w:val="26"/>
    </w:rPr>
  </w:style>
  <w:style w:type="character" w:customStyle="1" w:styleId="33">
    <w:name w:val="Заголовок 3 Знак"/>
    <w:link w:val="32"/>
    <w:rPr>
      <w:rFonts w:ascii="XO Thames" w:hAnsi="XO Thames"/>
      <w:b/>
      <w:sz w:val="26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Theme="minorHAnsi" w:hAnsiTheme="minorHAnsi"/>
      <w:i/>
      <w:color w:val="000000"/>
      <w:sz w:val="24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  <w:color w:val="000000"/>
      <w:sz w:val="22"/>
    </w:rPr>
  </w:style>
  <w:style w:type="paragraph" w:styleId="af">
    <w:name w:val="List"/>
    <w:basedOn w:val="af0"/>
    <w:link w:val="af1"/>
  </w:style>
  <w:style w:type="character" w:customStyle="1" w:styleId="af1">
    <w:name w:val="Список Знак"/>
    <w:basedOn w:val="af2"/>
    <w:link w:val="af"/>
    <w:rPr>
      <w:rFonts w:asciiTheme="minorHAnsi" w:hAnsiTheme="minorHAnsi"/>
      <w:color w:val="000000"/>
      <w:sz w:val="22"/>
    </w:rPr>
  </w:style>
  <w:style w:type="paragraph" w:customStyle="1" w:styleId="34">
    <w:name w:val="Оглавление 3 Знак"/>
    <w:link w:val="35"/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character" w:customStyle="1" w:styleId="11">
    <w:name w:val="Заголовок 1 Знак1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6">
    <w:name w:val="Оглавление 1 Знак"/>
    <w:link w:val="17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Гиперссылка1"/>
    <w:basedOn w:val="19"/>
    <w:link w:val="af3"/>
    <w:rPr>
      <w:color w:val="0000FF"/>
      <w:u w:val="single"/>
    </w:rPr>
  </w:style>
  <w:style w:type="character" w:styleId="af3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10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10">
    <w:name w:val="Оглавление 1 Знак1"/>
    <w:link w:val="1a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0">
    <w:name w:val="Body Text"/>
    <w:basedOn w:val="a"/>
    <w:link w:val="af2"/>
    <w:pPr>
      <w:spacing w:after="140" w:line="276" w:lineRule="auto"/>
    </w:pPr>
  </w:style>
  <w:style w:type="character" w:customStyle="1" w:styleId="af2">
    <w:name w:val="Основной текст Знак"/>
    <w:basedOn w:val="1"/>
    <w:link w:val="af0"/>
    <w:rPr>
      <w:rFonts w:asciiTheme="minorHAnsi" w:hAnsiTheme="minorHAnsi"/>
      <w:color w:val="000000"/>
      <w:sz w:val="22"/>
    </w:rPr>
  </w:style>
  <w:style w:type="paragraph" w:customStyle="1" w:styleId="af4">
    <w:name w:val="Колонтитул"/>
    <w:link w:val="af5"/>
    <w:pPr>
      <w:spacing w:after="160"/>
      <w:jc w:val="both"/>
    </w:pPr>
    <w:rPr>
      <w:rFonts w:ascii="XO Thames" w:hAnsi="XO Thames"/>
      <w:sz w:val="28"/>
    </w:rPr>
  </w:style>
  <w:style w:type="character" w:customStyle="1" w:styleId="af5">
    <w:name w:val="Колонтитул"/>
    <w:link w:val="af4"/>
    <w:rPr>
      <w:rFonts w:ascii="XO Thames" w:hAnsi="XO Thames"/>
      <w:color w:val="000000"/>
      <w:sz w:val="28"/>
    </w:rPr>
  </w:style>
  <w:style w:type="paragraph" w:customStyle="1" w:styleId="af6">
    <w:name w:val="Заголовок"/>
    <w:basedOn w:val="a"/>
    <w:next w:val="af0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6"/>
    <w:rPr>
      <w:rFonts w:ascii="Liberation Sans" w:hAnsi="Liberation Sans"/>
      <w:color w:val="000000"/>
      <w:sz w:val="28"/>
    </w:rPr>
  </w:style>
  <w:style w:type="paragraph" w:styleId="91">
    <w:name w:val="toc 9"/>
    <w:next w:val="a"/>
    <w:link w:val="91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13">
    <w:name w:val="Обычный1"/>
    <w:link w:val="15"/>
  </w:style>
  <w:style w:type="character" w:customStyle="1" w:styleId="15">
    <w:name w:val="Обычный1"/>
    <w:link w:val="13"/>
  </w:style>
  <w:style w:type="paragraph" w:styleId="af8">
    <w:name w:val="index heading"/>
    <w:basedOn w:val="a"/>
    <w:link w:val="af9"/>
  </w:style>
  <w:style w:type="character" w:customStyle="1" w:styleId="af9">
    <w:name w:val="Указатель Знак"/>
    <w:basedOn w:val="1"/>
    <w:link w:val="af8"/>
    <w:rPr>
      <w:rFonts w:asciiTheme="minorHAnsi" w:hAnsiTheme="minorHAnsi"/>
      <w:color w:val="000000"/>
      <w:sz w:val="22"/>
    </w:rPr>
  </w:style>
  <w:style w:type="paragraph" w:customStyle="1" w:styleId="24">
    <w:name w:val="Оглавление 2 Знак"/>
    <w:link w:val="25"/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  <w:sz w:val="20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  <w:sz w:val="20"/>
    </w:rPr>
  </w:style>
  <w:style w:type="paragraph" w:customStyle="1" w:styleId="19">
    <w:name w:val="Основной шрифт абзаца1"/>
  </w:style>
  <w:style w:type="paragraph" w:customStyle="1" w:styleId="53">
    <w:name w:val="Заголовок 5 Знак"/>
    <w:link w:val="54"/>
    <w:rPr>
      <w:rFonts w:ascii="XO Thames" w:hAnsi="XO Thames"/>
      <w:b/>
    </w:rPr>
  </w:style>
  <w:style w:type="character" w:customStyle="1" w:styleId="54">
    <w:name w:val="Заголовок 5 Знак"/>
    <w:link w:val="53"/>
    <w:rPr>
      <w:rFonts w:ascii="XO Thames" w:hAnsi="XO Thames"/>
      <w:b/>
      <w:sz w:val="22"/>
    </w:rPr>
  </w:style>
  <w:style w:type="paragraph" w:styleId="81">
    <w:name w:val="toc 8"/>
    <w:next w:val="a"/>
    <w:link w:val="81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styleId="afa">
    <w:name w:val="annotation subject"/>
    <w:basedOn w:val="afb"/>
    <w:next w:val="afb"/>
    <w:link w:val="afc"/>
    <w:rPr>
      <w:b/>
    </w:rPr>
  </w:style>
  <w:style w:type="character" w:customStyle="1" w:styleId="afc">
    <w:name w:val="Тема примечания Знак"/>
    <w:basedOn w:val="afd"/>
    <w:link w:val="afa"/>
    <w:rPr>
      <w:rFonts w:asciiTheme="minorHAnsi" w:hAnsiTheme="minorHAnsi"/>
      <w:b/>
      <w:color w:val="000000"/>
      <w:sz w:val="20"/>
    </w:rPr>
  </w:style>
  <w:style w:type="paragraph" w:customStyle="1" w:styleId="1b">
    <w:name w:val="Гиперссылка1"/>
    <w:basedOn w:val="1c"/>
    <w:link w:val="1d"/>
    <w:rPr>
      <w:color w:val="0000FF"/>
      <w:u w:val="single"/>
    </w:rPr>
  </w:style>
  <w:style w:type="character" w:customStyle="1" w:styleId="1d">
    <w:name w:val="Гиперссылка1"/>
    <w:basedOn w:val="1e"/>
    <w:link w:val="1b"/>
    <w:rPr>
      <w:rFonts w:asciiTheme="minorHAnsi" w:hAnsiTheme="minorHAnsi"/>
      <w:color w:val="0000FF"/>
      <w:sz w:val="22"/>
      <w:u w:val="single"/>
    </w:rPr>
  </w:style>
  <w:style w:type="paragraph" w:styleId="afb">
    <w:name w:val="annotation text"/>
    <w:basedOn w:val="a"/>
    <w:link w:val="afd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1"/>
    <w:link w:val="afb"/>
    <w:rPr>
      <w:rFonts w:asciiTheme="minorHAnsi" w:hAnsiTheme="minorHAnsi"/>
      <w:color w:val="000000"/>
      <w:sz w:val="20"/>
    </w:rPr>
  </w:style>
  <w:style w:type="paragraph" w:styleId="55">
    <w:name w:val="toc 5"/>
    <w:next w:val="a"/>
    <w:link w:val="510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5"/>
    <w:rPr>
      <w:rFonts w:ascii="XO Thames" w:hAnsi="XO Thames"/>
      <w:color w:val="000000"/>
      <w:sz w:val="28"/>
    </w:rPr>
  </w:style>
  <w:style w:type="paragraph" w:customStyle="1" w:styleId="1c">
    <w:name w:val="Основной шрифт абзаца1"/>
    <w:link w:val="1e"/>
    <w:pPr>
      <w:spacing w:after="160" w:line="264" w:lineRule="auto"/>
    </w:pPr>
  </w:style>
  <w:style w:type="character" w:customStyle="1" w:styleId="1e">
    <w:name w:val="Основной шрифт абзаца1"/>
    <w:link w:val="1c"/>
    <w:rPr>
      <w:rFonts w:asciiTheme="minorHAnsi" w:hAnsiTheme="minorHAnsi"/>
      <w:color w:val="000000"/>
      <w:sz w:val="22"/>
    </w:rPr>
  </w:style>
  <w:style w:type="paragraph" w:styleId="afe">
    <w:name w:val="Subtitle"/>
    <w:next w:val="a"/>
    <w:link w:val="1f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1f">
    <w:name w:val="Подзаголовок Знак1"/>
    <w:link w:val="afe"/>
    <w:rPr>
      <w:rFonts w:ascii="XO Thames" w:hAnsi="XO Thames"/>
      <w:i/>
      <w:color w:val="000000"/>
      <w:sz w:val="24"/>
    </w:rPr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aff">
    <w:name w:val="Title"/>
    <w:next w:val="a"/>
    <w:link w:val="1f0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1f0">
    <w:name w:val="Название Знак1"/>
    <w:link w:val="aff"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color w:val="000000"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color w:val="000000"/>
      <w:sz w:val="28"/>
    </w:rPr>
  </w:style>
  <w:style w:type="paragraph" w:customStyle="1" w:styleId="1f1">
    <w:name w:val="Знак примечания1"/>
    <w:basedOn w:val="1c"/>
    <w:link w:val="1f2"/>
    <w:rPr>
      <w:sz w:val="16"/>
    </w:rPr>
  </w:style>
  <w:style w:type="character" w:customStyle="1" w:styleId="1f2">
    <w:name w:val="Знак примечания1"/>
    <w:basedOn w:val="1e"/>
    <w:link w:val="1f1"/>
    <w:rPr>
      <w:rFonts w:asciiTheme="minorHAnsi" w:hAnsiTheme="minorHAnsi"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0">
    <w:name w:val="toc 2"/>
    <w:next w:val="a"/>
    <w:link w:val="210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40">
    <w:name w:val="Заголовок 4 Знак"/>
    <w:link w:val="42"/>
    <w:rPr>
      <w:rFonts w:ascii="XO Thames" w:hAnsi="XO Thames"/>
      <w:b/>
      <w:sz w:val="24"/>
    </w:rPr>
  </w:style>
  <w:style w:type="character" w:customStyle="1" w:styleId="42">
    <w:name w:val="Заголовок 4 Знак"/>
    <w:link w:val="40"/>
    <w:rPr>
      <w:rFonts w:ascii="XO Thames" w:hAnsi="XO Thames"/>
      <w:b/>
      <w:sz w:val="24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43">
    <w:name w:val="toc 4"/>
    <w:next w:val="a"/>
    <w:link w:val="410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3"/>
    <w:rPr>
      <w:rFonts w:ascii="XO Thames" w:hAnsi="XO Thames"/>
      <w:color w:val="000000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50">
    <w:name w:val="Оглавление 5 Знак"/>
    <w:link w:val="52"/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styleId="6">
    <w:name w:val="toc 6"/>
    <w:next w:val="a"/>
    <w:link w:val="61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Times New Roman" w:hAnsi="Times New Roman"/>
      <w:sz w:val="24"/>
    </w:rPr>
  </w:style>
  <w:style w:type="character" w:customStyle="1" w:styleId="ConsPlusNormal10">
    <w:name w:val="ConsPlusNormal1"/>
    <w:link w:val="ConsPlusNormal1"/>
    <w:rPr>
      <w:rFonts w:ascii="Times New Roman" w:hAnsi="Times New Roman"/>
      <w:color w:val="000000"/>
      <w:sz w:val="24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22">
    <w:name w:val="Заголовок 2 Знак"/>
    <w:link w:val="23"/>
    <w:rPr>
      <w:rFonts w:ascii="XO Thames" w:hAnsi="XO Thames"/>
      <w:b/>
      <w:sz w:val="28"/>
    </w:rPr>
  </w:style>
  <w:style w:type="character" w:customStyle="1" w:styleId="23">
    <w:name w:val="Заголовок 2 Знак"/>
    <w:link w:val="22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link w:val="3"/>
    <w:rPr>
      <w:rFonts w:ascii="XO Thames" w:hAnsi="XO Thames"/>
      <w:b/>
      <w:color w:val="000000"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color w:val="000000"/>
      <w:sz w:val="16"/>
    </w:rPr>
  </w:style>
  <w:style w:type="paragraph" w:customStyle="1" w:styleId="Footnote1">
    <w:name w:val="Footnote1"/>
    <w:link w:val="Foot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a9">
    <w:name w:val="Подзаголовок Знак"/>
    <w:link w:val="aa"/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sz w:val="28"/>
    </w:rPr>
  </w:style>
  <w:style w:type="paragraph" w:customStyle="1" w:styleId="12">
    <w:name w:val="Заголовок 1 Знак"/>
    <w:basedOn w:val="13"/>
    <w:link w:val="14"/>
    <w:rPr>
      <w:rFonts w:ascii="Times New Roman CYR" w:hAnsi="Times New Roman CYR"/>
      <w:b/>
      <w:color w:val="26282F"/>
      <w:sz w:val="24"/>
    </w:rPr>
  </w:style>
  <w:style w:type="character" w:customStyle="1" w:styleId="14">
    <w:name w:val="Заголовок 1 Знак"/>
    <w:basedOn w:val="15"/>
    <w:link w:val="12"/>
    <w:rPr>
      <w:rFonts w:ascii="Times New Roman CYR" w:hAnsi="Times New Roman CYR"/>
      <w:b/>
      <w:color w:val="26282F"/>
      <w:sz w:val="24"/>
    </w:rPr>
  </w:style>
  <w:style w:type="paragraph" w:customStyle="1" w:styleId="ab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paragraph" w:styleId="30">
    <w:name w:val="toc 3"/>
    <w:next w:val="a"/>
    <w:link w:val="310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0"/>
    <w:rPr>
      <w:rFonts w:ascii="XO Thames" w:hAnsi="XO Thames"/>
      <w:color w:val="000000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Endnote1">
    <w:name w:val="Endnote1"/>
    <w:link w:val="End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z w:val="22"/>
    </w:rPr>
  </w:style>
  <w:style w:type="paragraph" w:customStyle="1" w:styleId="32">
    <w:name w:val="Заголовок 3 Знак"/>
    <w:link w:val="33"/>
    <w:rPr>
      <w:rFonts w:ascii="XO Thames" w:hAnsi="XO Thames"/>
      <w:b/>
      <w:sz w:val="26"/>
    </w:rPr>
  </w:style>
  <w:style w:type="character" w:customStyle="1" w:styleId="33">
    <w:name w:val="Заголовок 3 Знак"/>
    <w:link w:val="32"/>
    <w:rPr>
      <w:rFonts w:ascii="XO Thames" w:hAnsi="XO Thames"/>
      <w:b/>
      <w:sz w:val="26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Theme="minorHAnsi" w:hAnsiTheme="minorHAnsi"/>
      <w:i/>
      <w:color w:val="000000"/>
      <w:sz w:val="24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  <w:color w:val="000000"/>
      <w:sz w:val="22"/>
    </w:rPr>
  </w:style>
  <w:style w:type="paragraph" w:styleId="af">
    <w:name w:val="List"/>
    <w:basedOn w:val="af0"/>
    <w:link w:val="af1"/>
  </w:style>
  <w:style w:type="character" w:customStyle="1" w:styleId="af1">
    <w:name w:val="Список Знак"/>
    <w:basedOn w:val="af2"/>
    <w:link w:val="af"/>
    <w:rPr>
      <w:rFonts w:asciiTheme="minorHAnsi" w:hAnsiTheme="minorHAnsi"/>
      <w:color w:val="000000"/>
      <w:sz w:val="22"/>
    </w:rPr>
  </w:style>
  <w:style w:type="paragraph" w:customStyle="1" w:styleId="34">
    <w:name w:val="Оглавление 3 Знак"/>
    <w:link w:val="35"/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character" w:customStyle="1" w:styleId="11">
    <w:name w:val="Заголовок 1 Знак1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6">
    <w:name w:val="Оглавление 1 Знак"/>
    <w:link w:val="17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Гиперссылка1"/>
    <w:basedOn w:val="19"/>
    <w:link w:val="af3"/>
    <w:rPr>
      <w:color w:val="0000FF"/>
      <w:u w:val="single"/>
    </w:rPr>
  </w:style>
  <w:style w:type="character" w:styleId="af3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10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10">
    <w:name w:val="Оглавление 1 Знак1"/>
    <w:link w:val="1a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0">
    <w:name w:val="Body Text"/>
    <w:basedOn w:val="a"/>
    <w:link w:val="af2"/>
    <w:pPr>
      <w:spacing w:after="140" w:line="276" w:lineRule="auto"/>
    </w:pPr>
  </w:style>
  <w:style w:type="character" w:customStyle="1" w:styleId="af2">
    <w:name w:val="Основной текст Знак"/>
    <w:basedOn w:val="1"/>
    <w:link w:val="af0"/>
    <w:rPr>
      <w:rFonts w:asciiTheme="minorHAnsi" w:hAnsiTheme="minorHAnsi"/>
      <w:color w:val="000000"/>
      <w:sz w:val="22"/>
    </w:rPr>
  </w:style>
  <w:style w:type="paragraph" w:customStyle="1" w:styleId="af4">
    <w:name w:val="Колонтитул"/>
    <w:link w:val="af5"/>
    <w:pPr>
      <w:spacing w:after="160"/>
      <w:jc w:val="both"/>
    </w:pPr>
    <w:rPr>
      <w:rFonts w:ascii="XO Thames" w:hAnsi="XO Thames"/>
      <w:sz w:val="28"/>
    </w:rPr>
  </w:style>
  <w:style w:type="character" w:customStyle="1" w:styleId="af5">
    <w:name w:val="Колонтитул"/>
    <w:link w:val="af4"/>
    <w:rPr>
      <w:rFonts w:ascii="XO Thames" w:hAnsi="XO Thames"/>
      <w:color w:val="000000"/>
      <w:sz w:val="28"/>
    </w:rPr>
  </w:style>
  <w:style w:type="paragraph" w:customStyle="1" w:styleId="af6">
    <w:name w:val="Заголовок"/>
    <w:basedOn w:val="a"/>
    <w:next w:val="af0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6"/>
    <w:rPr>
      <w:rFonts w:ascii="Liberation Sans" w:hAnsi="Liberation Sans"/>
      <w:color w:val="000000"/>
      <w:sz w:val="28"/>
    </w:rPr>
  </w:style>
  <w:style w:type="paragraph" w:styleId="91">
    <w:name w:val="toc 9"/>
    <w:next w:val="a"/>
    <w:link w:val="91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13">
    <w:name w:val="Обычный1"/>
    <w:link w:val="15"/>
  </w:style>
  <w:style w:type="character" w:customStyle="1" w:styleId="15">
    <w:name w:val="Обычный1"/>
    <w:link w:val="13"/>
  </w:style>
  <w:style w:type="paragraph" w:styleId="af8">
    <w:name w:val="index heading"/>
    <w:basedOn w:val="a"/>
    <w:link w:val="af9"/>
  </w:style>
  <w:style w:type="character" w:customStyle="1" w:styleId="af9">
    <w:name w:val="Указатель Знак"/>
    <w:basedOn w:val="1"/>
    <w:link w:val="af8"/>
    <w:rPr>
      <w:rFonts w:asciiTheme="minorHAnsi" w:hAnsiTheme="minorHAnsi"/>
      <w:color w:val="000000"/>
      <w:sz w:val="22"/>
    </w:rPr>
  </w:style>
  <w:style w:type="paragraph" w:customStyle="1" w:styleId="24">
    <w:name w:val="Оглавление 2 Знак"/>
    <w:link w:val="25"/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  <w:sz w:val="20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  <w:sz w:val="20"/>
    </w:rPr>
  </w:style>
  <w:style w:type="paragraph" w:customStyle="1" w:styleId="19">
    <w:name w:val="Основной шрифт абзаца1"/>
  </w:style>
  <w:style w:type="paragraph" w:customStyle="1" w:styleId="53">
    <w:name w:val="Заголовок 5 Знак"/>
    <w:link w:val="54"/>
    <w:rPr>
      <w:rFonts w:ascii="XO Thames" w:hAnsi="XO Thames"/>
      <w:b/>
    </w:rPr>
  </w:style>
  <w:style w:type="character" w:customStyle="1" w:styleId="54">
    <w:name w:val="Заголовок 5 Знак"/>
    <w:link w:val="53"/>
    <w:rPr>
      <w:rFonts w:ascii="XO Thames" w:hAnsi="XO Thames"/>
      <w:b/>
      <w:sz w:val="22"/>
    </w:rPr>
  </w:style>
  <w:style w:type="paragraph" w:styleId="81">
    <w:name w:val="toc 8"/>
    <w:next w:val="a"/>
    <w:link w:val="81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styleId="afa">
    <w:name w:val="annotation subject"/>
    <w:basedOn w:val="afb"/>
    <w:next w:val="afb"/>
    <w:link w:val="afc"/>
    <w:rPr>
      <w:b/>
    </w:rPr>
  </w:style>
  <w:style w:type="character" w:customStyle="1" w:styleId="afc">
    <w:name w:val="Тема примечания Знак"/>
    <w:basedOn w:val="afd"/>
    <w:link w:val="afa"/>
    <w:rPr>
      <w:rFonts w:asciiTheme="minorHAnsi" w:hAnsiTheme="minorHAnsi"/>
      <w:b/>
      <w:color w:val="000000"/>
      <w:sz w:val="20"/>
    </w:rPr>
  </w:style>
  <w:style w:type="paragraph" w:customStyle="1" w:styleId="1b">
    <w:name w:val="Гиперссылка1"/>
    <w:basedOn w:val="1c"/>
    <w:link w:val="1d"/>
    <w:rPr>
      <w:color w:val="0000FF"/>
      <w:u w:val="single"/>
    </w:rPr>
  </w:style>
  <w:style w:type="character" w:customStyle="1" w:styleId="1d">
    <w:name w:val="Гиперссылка1"/>
    <w:basedOn w:val="1e"/>
    <w:link w:val="1b"/>
    <w:rPr>
      <w:rFonts w:asciiTheme="minorHAnsi" w:hAnsiTheme="minorHAnsi"/>
      <w:color w:val="0000FF"/>
      <w:sz w:val="22"/>
      <w:u w:val="single"/>
    </w:rPr>
  </w:style>
  <w:style w:type="paragraph" w:styleId="afb">
    <w:name w:val="annotation text"/>
    <w:basedOn w:val="a"/>
    <w:link w:val="afd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1"/>
    <w:link w:val="afb"/>
    <w:rPr>
      <w:rFonts w:asciiTheme="minorHAnsi" w:hAnsiTheme="minorHAnsi"/>
      <w:color w:val="000000"/>
      <w:sz w:val="20"/>
    </w:rPr>
  </w:style>
  <w:style w:type="paragraph" w:styleId="55">
    <w:name w:val="toc 5"/>
    <w:next w:val="a"/>
    <w:link w:val="510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5"/>
    <w:rPr>
      <w:rFonts w:ascii="XO Thames" w:hAnsi="XO Thames"/>
      <w:color w:val="000000"/>
      <w:sz w:val="28"/>
    </w:rPr>
  </w:style>
  <w:style w:type="paragraph" w:customStyle="1" w:styleId="1c">
    <w:name w:val="Основной шрифт абзаца1"/>
    <w:link w:val="1e"/>
    <w:pPr>
      <w:spacing w:after="160" w:line="264" w:lineRule="auto"/>
    </w:pPr>
  </w:style>
  <w:style w:type="character" w:customStyle="1" w:styleId="1e">
    <w:name w:val="Основной шрифт абзаца1"/>
    <w:link w:val="1c"/>
    <w:rPr>
      <w:rFonts w:asciiTheme="minorHAnsi" w:hAnsiTheme="minorHAnsi"/>
      <w:color w:val="000000"/>
      <w:sz w:val="22"/>
    </w:rPr>
  </w:style>
  <w:style w:type="paragraph" w:styleId="afe">
    <w:name w:val="Subtitle"/>
    <w:next w:val="a"/>
    <w:link w:val="1f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1f">
    <w:name w:val="Подзаголовок Знак1"/>
    <w:link w:val="afe"/>
    <w:rPr>
      <w:rFonts w:ascii="XO Thames" w:hAnsi="XO Thames"/>
      <w:i/>
      <w:color w:val="000000"/>
      <w:sz w:val="24"/>
    </w:rPr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aff">
    <w:name w:val="Title"/>
    <w:next w:val="a"/>
    <w:link w:val="1f0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1f0">
    <w:name w:val="Название Знак1"/>
    <w:link w:val="aff"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color w:val="000000"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color w:val="000000"/>
      <w:sz w:val="28"/>
    </w:rPr>
  </w:style>
  <w:style w:type="paragraph" w:customStyle="1" w:styleId="1f1">
    <w:name w:val="Знак примечания1"/>
    <w:basedOn w:val="1c"/>
    <w:link w:val="1f2"/>
    <w:rPr>
      <w:sz w:val="16"/>
    </w:rPr>
  </w:style>
  <w:style w:type="character" w:customStyle="1" w:styleId="1f2">
    <w:name w:val="Знак примечания1"/>
    <w:basedOn w:val="1e"/>
    <w:link w:val="1f1"/>
    <w:rPr>
      <w:rFonts w:asciiTheme="minorHAnsi" w:hAnsiTheme="minorHAnsi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907175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9071750/10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36872154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document/redirect/186367/0" TargetMode="External"/><Relationship Id="rId10" Type="http://schemas.openxmlformats.org/officeDocument/2006/relationships/hyperlink" Target="https://internet.garant.ru/document/redirect/49071750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18481&amp;date=15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ECO-3</dc:creator>
  <cp:lastModifiedBy>ECO-3</cp:lastModifiedBy>
  <cp:revision>2</cp:revision>
  <cp:lastPrinted>2025-10-16T13:07:00Z</cp:lastPrinted>
  <dcterms:created xsi:type="dcterms:W3CDTF">2025-10-23T11:53:00Z</dcterms:created>
  <dcterms:modified xsi:type="dcterms:W3CDTF">2025-10-23T11:53:00Z</dcterms:modified>
</cp:coreProperties>
</file>